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subjekty, u nichž ověřil, že splňují požadavky na oznámený subjekt stanovené přímo použitelným předpisem pro stavební výrobky,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pozastavení nebo zrušení oprávnění provádět stanovené činnosti při posuzování a ověřování stálosti vlastností stavebních výrobků s označením CE (dále jen „činnosti oznámeného subjektu“),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skutečnosti a informace</w:t>
      </w:r>
      <w:r>
        <w:rPr>
          <w:vertAlign w:val="superscript"/>
        </w:rPr>
        <w:t xml:space="preserve">11</w:t>
      </w:r>
      <w:r>
        <w:rPr/>
        <w:t xml:space="preserve">)</w:t>
      </w:r>
      <w:r>
        <w:rPr/>
        <w:t xml:space="preserve">, které předpokládá přímo použitelný předpis pro stavební výrobky, není-li v § 11c a 18c stanoveno jinak.</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Pověření zaměstnanci Úřadu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V případě zrušení rozhodnutí o autorizaci je autorizovaná osoba povinna po nabytí právní moci tohoto rozhodnutí předat Úřadu veškeré dokumenty, týkající se posuzování shody prováděné touto osobou. V případě změny nebo pozastavení účinnosti rozhodnutí o autorizaci je autorizovaná osoba povinna po nabytí právní moci takového rozhodnutí předat dokumenty podle věty první Úřadu, pokud o to Úřad požádá.</w:t>
      </w:r>
    </w:p>
    <w:p>
      <w:pPr>
        <w:ind w:left="0" w:right="0"/>
      </w:pPr>
      <w:r>
        <w:rPr>
          <w:b/>
          <w:bCs/>
        </w:rPr>
        <w:t xml:space="preserve">(8)</w:t>
      </w:r>
      <w:r>
        <w:rPr/>
        <w:t xml:space="preserve"> Autorizace, jejich rozsah a změny se zveřejňují oznámením ve Věstníku Úřadu.</w:t>
      </w:r>
    </w:p>
    <w:p>
      <w:pPr>
        <w:ind w:left="0" w:right="0"/>
      </w:pPr>
      <w:r>
        <w:rPr>
          <w:b/>
          <w:bCs/>
        </w:rPr>
        <w:t xml:space="preserve">(9)</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(10)</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 11b</w:t>
      </w:r>
      <w:r>
        <w:rPr>
          <w:rStyle w:val="hidden"/>
        </w:rPr>
        <w:t xml:space="preserve"> -</w:t>
      </w:r>
      <w:br/>
      <w:r>
        <w:rPr/>
        <w:t xml:space="preserve">Oznámené subjekty</w:t>
      </w:r>
    </w:p>
    <w:p>
      <w:pPr>
        <w:ind w:left="0" w:right="0"/>
      </w:pPr>
      <w:r>
        <w:rPr>
          <w:b/>
          <w:bCs/>
        </w:rPr>
        <w:t xml:space="preserve">(1)</w:t>
      </w:r>
      <w:r>
        <w:rPr/>
        <w:t xml:space="preserve">  Právnická osoba může provádět činnosti oznámeného subjektu, pokud v řízení vedeném Úřadem a zahájeném na žádost prokáže, že splňuje požadavky na oznámený subjekt, které stanoví čl. 43 přímo použitelného předpisu pro stavební výrobky. Náležitosti žádosti o udělení oprávnění provádět činnosti oznámeného subjektu (dále jen „oprávnění“) stanoví čl. 47 přímo použitelného předpisu pro stavební výrobky.</w:t>
      </w:r>
    </w:p>
    <w:p>
      <w:pPr>
        <w:ind w:left="0" w:right="0"/>
      </w:pPr>
      <w:r>
        <w:rPr>
          <w:b/>
          <w:bCs/>
        </w:rPr>
        <w:t xml:space="preserve">(2)</w:t>
      </w:r>
      <w:r>
        <w:rPr/>
        <w:t xml:space="preserve">  Pokud žadatel prokázal splnění požadavků podle odstavce  1, Úřad provede do 90 dnů od zahájení řízení oznámení podle § 7 odst.  7 písm.  c) a vyrozumí o tom žadatele; v opačném případě žádost zamítne. Lhůta podle věty první může být Úřadem prodloužena o dalších 30 dnů v případě, že žadatel prokazuje svoji odbornou způsobilost jiným způsobem, než prostřednictvím osvědčení o akreditaci.</w:t>
      </w:r>
    </w:p>
    <w:p>
      <w:pPr>
        <w:ind w:left="0" w:right="0"/>
      </w:pPr>
      <w:r>
        <w:rPr>
          <w:b/>
          <w:bCs/>
        </w:rPr>
        <w:t xml:space="preserve">(3)</w:t>
      </w:r>
      <w:r>
        <w:rPr/>
        <w:t xml:space="preserve">  Pokud Evropská komise ani žádný z členských států Evropské unie nevznese ve lhůtě stanovené přímo použitelným předpisem pro stavební výrobky</w:t>
      </w:r>
      <w:r>
        <w:rPr>
          <w:vertAlign w:val="superscript"/>
        </w:rPr>
        <w:t xml:space="preserve">12</w:t>
      </w:r>
      <w:r>
        <w:rPr/>
        <w:t xml:space="preserve">)</w:t>
      </w:r>
      <w:r>
        <w:rPr/>
        <w:t xml:space="preserve"> proti oznámení podle odstavce  2 námitku, Úřad vydá žadateli nejpozději do 2 pracovních dnů od uplynutí této lhůty doklad o udělení oprávnění</w:t>
      </w:r>
      <w:r>
        <w:rPr>
          <w:vertAlign w:val="superscript"/>
        </w:rPr>
        <w:t xml:space="preserve">13</w:t>
      </w:r>
      <w:r>
        <w:rPr/>
        <w:t xml:space="preserve">)</w:t>
      </w:r>
      <w:r>
        <w:rPr/>
        <w:t xml:space="preserve">. Úřad následně zveřejní ve Věstníku Úřadu oznámení o udělení oprávnění, včetně rozsahu oprávnění, data, od kterého může subjekt provádět činnosti oznámeného subjektu, identifikačního čísla oznámeného subjektu přiděleného podle přímo použitelného předpisu pro stavební výrobky a čísla a data vydání dokladu o udělení oprávnění.</w:t>
      </w:r>
    </w:p>
    <w:p>
      <w:pPr>
        <w:ind w:left="0" w:right="0"/>
      </w:pPr>
      <w:r>
        <w:rPr>
          <w:b/>
          <w:bCs/>
        </w:rPr>
        <w:t xml:space="preserve">(4)</w:t>
      </w:r>
      <w:r>
        <w:rPr/>
        <w:t xml:space="preserve">  Pokud Evropská komise nebo některý členský stát Evropské unie vznese ve lhůtě stanovené přímo použitelným předpisem pro stavební výrobky</w:t>
      </w:r>
      <w:r>
        <w:rPr>
          <w:vertAlign w:val="superscript"/>
        </w:rPr>
        <w:t xml:space="preserve">12</w:t>
      </w:r>
      <w:r>
        <w:rPr/>
        <w:t xml:space="preserve">)</w:t>
      </w:r>
      <w:r>
        <w:rPr/>
        <w:t xml:space="preserve"> proti oznámení podle odstavce  2 námitku, Úřad vyzve žadatele, aby přijal vhodná opatření za účelem odstranění nedostatků, a poskytne mu k tomu přiměřenou lhůtu. Odstraní-li žadatel nedostatky v určené lhůtě, sdělí tuto skutečnost bez zbytečného odkladu Úřadu. Pokud Úřad dospěje k závěru, že žadatel nedostatky odstranil, provede znovu oznámení podle odstavce  2. Jestliže žadatel v určené lhůtě nedostatky neodstraní, Úřad žádost zamítne.</w:t>
      </w:r>
    </w:p>
    <w:p>
      <w:pPr>
        <w:ind w:left="0" w:right="0"/>
      </w:pPr>
      <w:r>
        <w:rPr>
          <w:b/>
          <w:bCs/>
        </w:rPr>
        <w:t xml:space="preserve">(5)</w:t>
      </w:r>
      <w:r>
        <w:rPr/>
        <w:t xml:space="preserve">  Úřad kontroluje, zda oznámený subjekt</w:t>
      </w:r>
      <w:r>
        <w:rPr>
          <w:vertAlign w:val="superscript"/>
        </w:rPr>
        <w:t xml:space="preserve">14</w:t>
      </w:r>
      <w:r>
        <w:rPr/>
        <w:t xml:space="preserve">)</w:t>
      </w:r>
      <w:r>
        <w:rPr/>
        <w:t xml:space="preserve"> dodržuje povinnosti a splňuje požadavky na oznámený subjekt stanovené přímo použitelným předpisem pro stavební výrobky. Nedodržuje-li oznámený subjekt stanovené povinnosti nebo nesplňuje-li příslušné požadavky, Úřad podle závažnosti neplnění těchto požadavků oprávnění oznámeného subjektu částečně anebo úplně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zruší.</w:t>
      </w:r>
    </w:p>
    <w:p>
      <w:pPr>
        <w:ind w:left="0" w:right="0"/>
      </w:pPr>
      <w:r>
        <w:rPr>
          <w:b/>
          <w:bCs/>
        </w:rPr>
        <w:t xml:space="preserve">(6)</w:t>
      </w:r>
      <w:r>
        <w:rPr/>
        <w:t xml:space="preserve">  Odvolání proti rozhodnutí Úřadu o pozastavení nebo zrušení oprávnění nemá odkladný účinek. Úřad rozhodne o pozastavení nebo zrušení oprávnění též na žádost oznámeného subjektu. Oznámení o pozastavení nebo zrušení oprávnění zveřejní Úřad ve Věstníku Úřadu.</w:t>
      </w:r>
    </w:p>
    <w:p>
      <w:pPr>
        <w:ind w:left="0" w:right="0"/>
      </w:pPr>
      <w:r>
        <w:rPr>
          <w:b/>
          <w:bCs/>
        </w:rPr>
        <w:t xml:space="preserve">(7)</w:t>
      </w:r>
      <w:r>
        <w:rPr/>
        <w:t xml:space="preserve">  V rozhodnutí o pozastavení oprávnění stanoví Úřad lhůtu pro zjednání nápravy. Zjedná-li oznámený subjekt nápravu, sdělí tuto skutečnost bez zbytečného odkladu Úřadu. Shledá-li Úřad zjednání nápravy za dostatečné, rozhodnutí o pozastavení oprávnění zruší. Jestliže oznámený subjekt ve stanovené lhůtě nápravu nezjedná, rozhodne Úřad o zrušení oprávnění.</w:t>
      </w:r>
    </w:p>
    <w:p>
      <w:pPr>
        <w:ind w:left="0" w:right="0"/>
      </w:pPr>
      <w:r>
        <w:rPr>
          <w:b/>
          <w:bCs/>
        </w:rPr>
        <w:t xml:space="preserve">(8)</w:t>
      </w:r>
      <w:r>
        <w:rPr/>
        <w:t xml:space="preserve">  V případě, že bylo oznámenému subjektu pravomocně zrušeno jeho oprávnění, je tento subjekt povinen odevzdat Úřadu veškeré dokumenty, týkající se provádění činností oznámeného subjektu. V případě pravomocného pozastavení oprávnění je oznámený subjekt povinen předat dokumenty podle věty první Úřadu, pokud je k tomu Úřadem vyzván.</w:t>
      </w:r>
    </w:p>
    <w:p>
      <w:pPr>
        <w:ind w:left="0" w:right="0"/>
      </w:pPr>
      <w:r>
        <w:rPr>
          <w:b/>
          <w:bCs/>
        </w:rPr>
        <w:t xml:space="preserve">(9)</w:t>
      </w:r>
      <w:r>
        <w:rPr/>
        <w:t xml:space="preserve">  Na oznámené subjekty se nevztahuje § 11 a 11a.</w:t>
      </w:r>
    </w:p>
    <w:p>
      <w:pPr>
        <w:ind w:left="0" w:right="0"/>
      </w:pPr>
      <w:r>
        <w:rPr>
          <w:b/>
          <w:bCs/>
        </w:rPr>
        <w:t xml:space="preserve">(10)</w:t>
      </w:r>
      <w:r>
        <w:rPr/>
        <w:t xml:space="preserve">  Úřad zajistí, aby byly oznámené subjekty pravidelně informovány o předmětu a výsledcích jednání skupiny oznámených subjektů, zřízené podle přímo použitelného předpisu pro stavební výrobky, případně aby se jednání této skupiny mohl účastnit zástupce oznámených subjektů.</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popřípadě předpisy vydanými k jeho provedení,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provede činnost při posouzení shody, vyhrazenou pro účely tohoto zákona akreditované osobě, bez osvědčení podle § 16 odst.  1.</w:t>
      </w:r>
    </w:p>
    <w:p>
      <w:pPr>
        <w:ind w:left="0" w:right="0"/>
      </w:pPr>
      <w:r>
        <w:rPr>
          <w:b/>
          <w:bCs/>
        </w:rPr>
        <w:t xml:space="preserve">(2)</w:t>
      </w:r>
      <w:r>
        <w:rPr/>
        <w:t xml:space="preserve">  Autorizovaná osoba se dopustí správního deliktu tím, že nesplní některou z povinností podle § 11 odst.  7 nebo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ochranné opatření vydané podle § 18a odst.  1, 3 nebo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uloženou orgánem dozoru podle § 18 odst.  2 písm.  c) nebo d).</w:t>
      </w:r>
    </w:p>
    <w:p>
      <w:pPr>
        <w:ind w:left="0" w:right="0"/>
      </w:pPr>
      <w:r>
        <w:rPr>
          <w:b/>
          <w:bCs/>
        </w:rPr>
        <w:t xml:space="preserve">(4)</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nebo odstavce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správní delikt podle odstavce  4.</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c), d) a e) a § 19a odst.  2 v prvním stupni projednává Úřad, správní delikty podle § 19 odst.  1 písm.  a) a § 19a odst.  1 písm.  a) a § 19a odst.  3 a 4 v prvním stupni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1" w:history="1">
        <w:r>
          <w:rPr>
            <w:color w:val="darkblue"/>
            <w:u w:val="single"/>
          </w:rPr>
          <w:t xml:space="preserve">142/1991 Sb.</w:t>
        </w:r>
      </w:hyperlink>
      <w:r>
        <w:rPr/>
        <w:t xml:space="preserve">, ve znění zákona č. </w:t>
      </w:r>
      <w:hyperlink r:id="rId12"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3"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4" w:history="1">
        <w:r>
          <w:rPr>
            <w:color w:val="darkblue"/>
            <w:u w:val="single"/>
          </w:rPr>
          <w:t xml:space="preserve">64/1986 Sb.</w:t>
        </w:r>
      </w:hyperlink>
      <w:r>
        <w:rPr/>
        <w:t xml:space="preserve">, o České obchodní inspekci, ve znění zákona České národní rady č. </w:t>
      </w:r>
      <w:hyperlink r:id="rId15"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1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1"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2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8"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5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0"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1" w:history="1">
        <w:r>
          <w:rPr>
            <w:color w:val="darkblue"/>
            <w:u w:val="single"/>
          </w:rPr>
          <w:t xml:space="preserve">§ 4</w:t>
        </w:r>
      </w:hyperlink>
      <w:r>
        <w:rPr>
          <w:sz w:val="19.200000000000003"/>
          <w:szCs w:val="19.200000000000003"/>
        </w:rPr>
        <w:t xml:space="preserve"> odst. 1 zákona č. </w:t>
      </w:r>
      <w:hyperlink r:id="rId20"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2" w:history="1">
        <w:r>
          <w:rPr>
            <w:color w:val="darkblue"/>
            <w:u w:val="single"/>
          </w:rPr>
          <w:t xml:space="preserve">§ 14</w:t>
        </w:r>
      </w:hyperlink>
      <w:r>
        <w:rPr>
          <w:sz w:val="19.200000000000003"/>
          <w:szCs w:val="19.200000000000003"/>
        </w:rPr>
        <w:t xml:space="preserve"> a </w:t>
      </w:r>
      <w:hyperlink r:id="rId23" w:history="1">
        <w:r>
          <w:rPr>
            <w:color w:val="darkblue"/>
            <w:u w:val="single"/>
          </w:rPr>
          <w:t xml:space="preserve">15</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6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4" w:history="1">
        <w:r>
          <w:rPr>
            <w:color w:val="darkblue"/>
            <w:u w:val="single"/>
          </w:rPr>
          <w:t xml:space="preserve">§ 13</w:t>
        </w:r>
      </w:hyperlink>
      <w:r>
        <w:rPr>
          <w:sz w:val="19.200000000000003"/>
          <w:szCs w:val="19.200000000000003"/>
        </w:rPr>
        <w:t xml:space="preserve"> odst. 2 písm. c), </w:t>
      </w:r>
      <w:hyperlink r:id="rId25" w:history="1">
        <w:r>
          <w:rPr>
            <w:color w:val="darkblue"/>
            <w:u w:val="single"/>
          </w:rPr>
          <w:t xml:space="preserve">§ 16</w:t>
        </w:r>
      </w:hyperlink>
      <w:r>
        <w:rPr>
          <w:sz w:val="19.200000000000003"/>
          <w:szCs w:val="19.200000000000003"/>
        </w:rPr>
        <w:t xml:space="preserve">, </w:t>
      </w:r>
      <w:hyperlink r:id="rId26" w:history="1">
        <w:r>
          <w:rPr>
            <w:color w:val="darkblue"/>
            <w:u w:val="single"/>
          </w:rPr>
          <w:t xml:space="preserve">20</w:t>
        </w:r>
      </w:hyperlink>
      <w:r>
        <w:rPr>
          <w:sz w:val="19.200000000000003"/>
          <w:szCs w:val="19.200000000000003"/>
        </w:rPr>
        <w:t xml:space="preserve"> a </w:t>
      </w:r>
      <w:hyperlink r:id="rId27" w:history="1">
        <w:r>
          <w:rPr>
            <w:color w:val="darkblue"/>
            <w:u w:val="single"/>
          </w:rPr>
          <w:t xml:space="preserve">21</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30/1968 Sb.</w:t>
        </w:r>
      </w:hyperlink>
      <w:r>
        <w:rPr/>
        <w:t xml:space="preserve">, o státním zkušebnictví, ve znění zákona č. </w:t>
      </w:r>
      <w:hyperlink r:id="rId28" w:history="1">
        <w:r>
          <w:rPr>
            <w:color w:val="darkblue"/>
            <w:u w:val="single"/>
          </w:rPr>
          <w:t xml:space="preserve">54/1987 Sb.</w:t>
        </w:r>
      </w:hyperlink>
      <w:r>
        <w:rPr/>
        <w:t xml:space="preserve">, zákona č. </w:t>
      </w:r>
      <w:hyperlink r:id="rId29" w:history="1">
        <w:r>
          <w:rPr>
            <w:color w:val="darkblue"/>
            <w:u w:val="single"/>
          </w:rPr>
          <w:t xml:space="preserve">194/1988 Sb.</w:t>
        </w:r>
      </w:hyperlink>
      <w:r>
        <w:rPr/>
        <w:t xml:space="preserve">, zákona č. </w:t>
      </w:r>
      <w:hyperlink r:id="rId30" w:history="1">
        <w:r>
          <w:rPr>
            <w:color w:val="darkblue"/>
            <w:u w:val="single"/>
          </w:rPr>
          <w:t xml:space="preserve">479/1992 Sb.</w:t>
        </w:r>
      </w:hyperlink>
      <w:r>
        <w:rPr/>
        <w:t xml:space="preserve"> a zákona č. </w:t>
      </w:r>
      <w:hyperlink r:id="rId31"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142/1991 Sb.</w:t>
        </w:r>
      </w:hyperlink>
      <w:r>
        <w:rPr/>
        <w:t xml:space="preserve">, o československých technických normách, ve znění zákona č. </w:t>
      </w:r>
      <w:hyperlink r:id="rId12"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2"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3" w:history="1">
        <w:r>
          <w:rPr>
            <w:color w:val="darkblue"/>
            <w:u w:val="single"/>
          </w:rPr>
          <w:t xml:space="preserve">101/1988 Sb.</w:t>
        </w:r>
      </w:hyperlink>
      <w:r>
        <w:rPr/>
        <w:t xml:space="preserve">, o certifikaci výrobků, ve znění vyhlášky č. </w:t>
      </w:r>
      <w:hyperlink r:id="rId34"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5" w:history="1">
        <w:r>
          <w:rPr>
            <w:color w:val="darkblue"/>
            <w:u w:val="single"/>
          </w:rPr>
          <w:t xml:space="preserve">585/1992 Sb.</w:t>
        </w:r>
      </w:hyperlink>
      <w:r>
        <w:rPr/>
        <w:t xml:space="preserve">, kterou se provádí zákon č. </w:t>
      </w:r>
      <w:hyperlink r:id="rId13" w:history="1">
        <w:r>
          <w:rPr>
            <w:color w:val="darkblue"/>
            <w:u w:val="single"/>
          </w:rPr>
          <w:t xml:space="preserve">30/1968 Sb.</w:t>
        </w:r>
      </w:hyperlink>
      <w:r>
        <w:rPr/>
        <w:t xml:space="preserve">, o státním zkušebnictví, ve znění vyhlášky č. </w:t>
      </w:r>
      <w:hyperlink r:id="rId36"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8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7"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9"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0"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1" w:history="1">
        <w:r>
          <w:rPr>
            <w:color w:val="darkblue"/>
            <w:u w:val="single"/>
          </w:rPr>
          <w:t xml:space="preserve">65/1965 Sb.</w:t>
        </w:r>
      </w:hyperlink>
      <w:r>
        <w:rPr>
          <w:sz w:val="19.200000000000003"/>
          <w:szCs w:val="19.200000000000003"/>
        </w:rPr>
        <w:t xml:space="preserve">, zákoník práce, ve znění zákona č. </w:t>
      </w:r>
      <w:hyperlink r:id="rId42"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3"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4" w:history="1">
        <w:r>
          <w:rPr>
            <w:color w:val="darkblue"/>
            <w:u w:val="single"/>
          </w:rPr>
          <w:t xml:space="preserve">258/2000 Sb.</w:t>
        </w:r>
      </w:hyperlink>
      <w:r>
        <w:rPr>
          <w:sz w:val="19.200000000000003"/>
          <w:szCs w:val="19.200000000000003"/>
        </w:rPr>
        <w:t xml:space="preserve">, o ochraně veřejného zdraví, ve znění zákona č. </w:t>
      </w:r>
      <w:hyperlink r:id="rId45" w:history="1">
        <w:r>
          <w:rPr>
            <w:color w:val="darkblue"/>
            <w:u w:val="single"/>
          </w:rPr>
          <w:t xml:space="preserve">254/2001 Sb.</w:t>
        </w:r>
      </w:hyperlink>
      <w:r>
        <w:rPr>
          <w:sz w:val="19.200000000000003"/>
          <w:szCs w:val="19.200000000000003"/>
        </w:rPr>
        <w:t xml:space="preserve"> a zákona č. </w:t>
      </w:r>
      <w:hyperlink r:id="rId46"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9"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50" w:history="1">
        <w:r>
          <w:rPr>
            <w:color w:val="darkblue"/>
            <w:u w:val="single"/>
          </w:rPr>
          <w:t xml:space="preserve">§ 21</w:t>
        </w:r>
      </w:hyperlink>
      <w:r>
        <w:rPr>
          <w:sz w:val="19.200000000000003"/>
          <w:szCs w:val="19.200000000000003"/>
        </w:rPr>
        <w:t xml:space="preserve"> zákona č. </w:t>
      </w:r>
      <w:hyperlink r:id="rId48"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9"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1"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čl. 42 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Čl. 48 odst.  5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6" w:history="1">
        <w:r>
          <w:rPr>
            <w:color w:val="darkblue"/>
            <w:u w:val="single"/>
          </w:rPr>
          <w:t xml:space="preserve">§ 151</w:t>
        </w:r>
      </w:hyperlink>
      <w:r>
        <w:rPr>
          <w:sz w:val="19.200000000000003"/>
          <w:szCs w:val="19.200000000000003"/>
        </w:rPr>
        <w:t xml:space="preserve"> zákona č. </w:t>
      </w:r>
      <w:hyperlink r:id="rId5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Čl. 39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8"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8"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8"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2" w:history="1">
        <w:r>
          <w:rPr>
            <w:color w:val="darkblue"/>
            <w:u w:val="single"/>
          </w:rPr>
          <w:t xml:space="preserve">281/2009 Sb.</w:t>
        </w:r>
      </w:hyperlink>
      <w:r>
        <w:rPr/>
        <w:t xml:space="preserve"> nemůže byt zapracována, protože 19 odst.  7 zákona č. </w:t>
      </w:r>
      <w:hyperlink r:id="rId58"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59"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58"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58"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58"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sectPr>
      <w:headerReference w:type="default" r:id="rId61"/>
      <w:footerReference w:type="default" r:id="rId6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100/2013 Sb. z </w:t>
          </w:r>
          <w:r>
            <w:rPr>
              <w:rStyle w:val="bold"/>
            </w:rPr>
            <w:t xml:space="preserve">10. 5. 2013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1991s142" TargetMode="External"/><Relationship Id="rId12" Type="http://schemas.openxmlformats.org/officeDocument/2006/relationships/hyperlink" Target="https://esipa.cz/sbirka/sbsrv.dll/sb?DR=SB&amp;CP=1992s632" TargetMode="External"/><Relationship Id="rId13" Type="http://schemas.openxmlformats.org/officeDocument/2006/relationships/hyperlink" Target="https://esipa.cz/sbirka/sbsrv.dll/sb?DR=SB&amp;CP=1968s030" TargetMode="External"/><Relationship Id="rId14" Type="http://schemas.openxmlformats.org/officeDocument/2006/relationships/hyperlink" Target="https://esipa.cz/sbirka/sbsrv.dll/sb?DR=SB&amp;CP=1986s064" TargetMode="External"/><Relationship Id="rId15" Type="http://schemas.openxmlformats.org/officeDocument/2006/relationships/hyperlink" Target="https://esipa.cz/sbirka/sbsrv.dll/sb?DR=SB&amp;CP=1992s240" TargetMode="External"/><Relationship Id="rId16" Type="http://schemas.openxmlformats.org/officeDocument/2006/relationships/hyperlink" Target="https://esipa.cz/sbirka/sbsrv.dll/sb?DR=SB&amp;CP=1990s526" TargetMode="External"/><Relationship Id="rId17" Type="http://schemas.openxmlformats.org/officeDocument/2006/relationships/hyperlink" Target="https://esipa.cz/sbirka/sbsrv.dll/sb?DR=SB&amp;CP=1994s135" TargetMode="External"/><Relationship Id="rId18" Type="http://schemas.openxmlformats.org/officeDocument/2006/relationships/hyperlink" Target="https://esipa.cz/sbirka/sbsrv.dll/sb?DR=SB&amp;CP=1993s020" TargetMode="External"/><Relationship Id="rId19" Type="http://schemas.openxmlformats.org/officeDocument/2006/relationships/hyperlink" Target="https://esipa.cz/sbirka/sbsrv.dll/sb?DR=SB&amp;CP=1967s071" TargetMode="External"/><Relationship Id="rId20" Type="http://schemas.openxmlformats.org/officeDocument/2006/relationships/hyperlink" Target="https://esipa.cz/sbirka/sbsrv.dll/sb?DR=SB&amp;CP=1990s505" TargetMode="External"/><Relationship Id="rId21" Type="http://schemas.openxmlformats.org/officeDocument/2006/relationships/hyperlink" Target="https://esipa.cz/sbirka/sbsrv.dll/sb?DR=SB&amp;CP=1990s505#C01_P004" TargetMode="External"/><Relationship Id="rId22" Type="http://schemas.openxmlformats.org/officeDocument/2006/relationships/hyperlink" Target="https://esipa.cz/sbirka/sbsrv.dll/sb?DR=SB&amp;CP=1990s505#C05_P014" TargetMode="External"/><Relationship Id="rId23" Type="http://schemas.openxmlformats.org/officeDocument/2006/relationships/hyperlink" Target="https://esipa.cz/sbirka/sbsrv.dll/sb?DR=SB&amp;CP=1990s505#C05_P015" TargetMode="External"/><Relationship Id="rId24" Type="http://schemas.openxmlformats.org/officeDocument/2006/relationships/hyperlink" Target="https://esipa.cz/sbirka/sbsrv.dll/sb?DR=SB&amp;CP=1990s505#C05_P013" TargetMode="External"/><Relationship Id="rId25" Type="http://schemas.openxmlformats.org/officeDocument/2006/relationships/hyperlink" Target="https://esipa.cz/sbirka/sbsrv.dll/sb?DR=SB&amp;CP=1990s505#C05_P016" TargetMode="External"/><Relationship Id="rId26" Type="http://schemas.openxmlformats.org/officeDocument/2006/relationships/hyperlink" Target="https://esipa.cz/sbirka/sbsrv.dll/sb?DR=SB&amp;CP=1990s505#C05_P020" TargetMode="External"/><Relationship Id="rId27" Type="http://schemas.openxmlformats.org/officeDocument/2006/relationships/hyperlink" Target="https://esipa.cz/sbirka/sbsrv.dll/sb?DR=SB&amp;CP=1990s505#C05_P021" TargetMode="External"/><Relationship Id="rId28" Type="http://schemas.openxmlformats.org/officeDocument/2006/relationships/hyperlink" Target="https://esipa.cz/sbirka/sbsrv.dll/sb?DR=SB&amp;CP=1987s054" TargetMode="External"/><Relationship Id="rId29" Type="http://schemas.openxmlformats.org/officeDocument/2006/relationships/hyperlink" Target="https://esipa.cz/sbirka/sbsrv.dll/sb?DR=SB&amp;CP=1988s194" TargetMode="External"/><Relationship Id="rId30" Type="http://schemas.openxmlformats.org/officeDocument/2006/relationships/hyperlink" Target="https://esipa.cz/sbirka/sbsrv.dll/sb?DR=SB&amp;CP=1992s479" TargetMode="External"/><Relationship Id="rId31" Type="http://schemas.openxmlformats.org/officeDocument/2006/relationships/hyperlink" Target="https://esipa.cz/sbirka/sbsrv.dll/sb?DR=SB&amp;CP=1992s539" TargetMode="External"/><Relationship Id="rId32" Type="http://schemas.openxmlformats.org/officeDocument/2006/relationships/hyperlink" Target="https://esipa.cz/sbirka/sbsrv.dll/sb?DR=SB&amp;CP=1984s104" TargetMode="External"/><Relationship Id="rId33" Type="http://schemas.openxmlformats.org/officeDocument/2006/relationships/hyperlink" Target="https://esipa.cz/sbirka/sbsrv.dll/sb?DR=SB&amp;CP=1988s101" TargetMode="External"/><Relationship Id="rId34" Type="http://schemas.openxmlformats.org/officeDocument/2006/relationships/hyperlink" Target="https://esipa.cz/sbirka/sbsrv.dll/sb?DR=SB&amp;CP=1993s233" TargetMode="External"/><Relationship Id="rId35" Type="http://schemas.openxmlformats.org/officeDocument/2006/relationships/hyperlink" Target="https://esipa.cz/sbirka/sbsrv.dll/sb?DR=SB&amp;CP=1992s585" TargetMode="External"/><Relationship Id="rId36" Type="http://schemas.openxmlformats.org/officeDocument/2006/relationships/hyperlink" Target="https://esipa.cz/sbirka/sbsrv.dll/sb?DR=SB&amp;CP=1993s232" TargetMode="External"/><Relationship Id="rId37" Type="http://schemas.openxmlformats.org/officeDocument/2006/relationships/hyperlink" Target="https://esipa.cz/sbirka/sbsrv.dll/sb?DR=SB&amp;CP=1995s114" TargetMode="External"/><Relationship Id="rId38" Type="http://schemas.openxmlformats.org/officeDocument/2006/relationships/hyperlink" Target="https://esipa.cz/sbirka/sbsrv.dll/sb?DR=SB&amp;CP=2000s061" TargetMode="External"/><Relationship Id="rId39" Type="http://schemas.openxmlformats.org/officeDocument/2006/relationships/hyperlink" Target="https://esipa.cz/sbirka/sbsrv.dll/sb?DR=SB&amp;CP=32008R0765" TargetMode="External"/><Relationship Id="rId40" Type="http://schemas.openxmlformats.org/officeDocument/2006/relationships/hyperlink" Target="https://esipa.cz/sbirka/sbsrv.dll/sb?DR=SB&amp;CP=31993R0339" TargetMode="External"/><Relationship Id="rId41" Type="http://schemas.openxmlformats.org/officeDocument/2006/relationships/hyperlink" Target="https://esipa.cz/sbirka/sbsrv.dll/sb?DR=SB&amp;CP=1965s065" TargetMode="External"/><Relationship Id="rId42" Type="http://schemas.openxmlformats.org/officeDocument/2006/relationships/hyperlink" Target="https://esipa.cz/sbirka/sbsrv.dll/sb?DR=SB&amp;CP=2000s155" TargetMode="External"/><Relationship Id="rId43" Type="http://schemas.openxmlformats.org/officeDocument/2006/relationships/hyperlink" Target="https://esipa.cz/sbirka/sbsrv.dll/sb?DR=SB&amp;CP=32001L0095"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1s254" TargetMode="External"/><Relationship Id="rId46" Type="http://schemas.openxmlformats.org/officeDocument/2006/relationships/hyperlink" Target="https://esipa.cz/sbirka/sbsrv.dll/sb?DR=SB&amp;CP=2001s274" TargetMode="External"/><Relationship Id="rId47" Type="http://schemas.openxmlformats.org/officeDocument/2006/relationships/hyperlink" Target="https://esipa.cz/sbirka/sbsrv.dll/sb?DR=SB&amp;CP=2001s05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SB&amp;CP=1994s266" TargetMode="External"/><Relationship Id="rId50" Type="http://schemas.openxmlformats.org/officeDocument/2006/relationships/hyperlink" Target="https://esipa.cz/sbirka/sbsrv.dll/sb?DR=SB&amp;CP=1988s061#C03_P021" TargetMode="External"/><Relationship Id="rId51" Type="http://schemas.openxmlformats.org/officeDocument/2006/relationships/hyperlink" Target="https://esipa.cz/sbirka/sbsrv.dll/sb?DR=SB&amp;CP=2004s396" TargetMode="External"/><Relationship Id="rId52" Type="http://schemas.openxmlformats.org/officeDocument/2006/relationships/hyperlink" Target="https://esipa.cz/sbirka/sbsrv.dll/sb?DR=SB&amp;CP=2009s281" TargetMode="External"/><Relationship Id="rId53" Type="http://schemas.openxmlformats.org/officeDocument/2006/relationships/hyperlink" Target="https://esipa.cz/sbirka/sbsrv.dll/sb?DR=SB&amp;CP=2006s183" TargetMode="External"/><Relationship Id="rId54" Type="http://schemas.openxmlformats.org/officeDocument/2006/relationships/hyperlink" Target="https://esipa.cz/sbirka/sbsrv.dll/sb?DR=SB&amp;CP=32011R0305" TargetMode="External"/><Relationship Id="rId55" Type="http://schemas.openxmlformats.org/officeDocument/2006/relationships/hyperlink" Target="https://esipa.cz/sbirka/sbsrv.dll/sb?DR=SB&amp;CP=31989L0106" TargetMode="External"/><Relationship Id="rId56" Type="http://schemas.openxmlformats.org/officeDocument/2006/relationships/hyperlink" Target="https://esipa.cz/sbirka/sbsrv.dll/sb?DR=AZ&amp;CP=2004s500-2012s167#C03_H06_P151" TargetMode="External"/><Relationship Id="rId57" Type="http://schemas.openxmlformats.org/officeDocument/2006/relationships/hyperlink" Target="https://esipa.cz/sbirka/sbsrv.dll/sb?DR=SB&amp;CP=2004s500" TargetMode="External"/><Relationship Id="rId58" Type="http://schemas.openxmlformats.org/officeDocument/2006/relationships/hyperlink" Target="https://esipa.cz/sbirka/sbsrv.dll/sb?DR=SB&amp;CP=1997s022" TargetMode="External"/><Relationship Id="rId59" Type="http://schemas.openxmlformats.org/officeDocument/2006/relationships/hyperlink" Target="https://esipa.cz/sbirka/sbsrv.dll/sb?DR=SB&amp;CP=2009s490" TargetMode="External"/><Relationship Id="rId60" Type="http://schemas.openxmlformats.org/officeDocument/2006/relationships/hyperlink" Target="https://esipa.cz/sbirka/sbsrv.dll/sb?DR=SB&amp;CP=2002s190" TargetMode="External"/><Relationship Id="rId61" Type="http://schemas.openxmlformats.org/officeDocument/2006/relationships/header" Target="header1.xm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100/2013 Sb. z 10. 5. 2013</dc:title>
  <dc:description>Zákon o technických požadavcích na výrobky a o změně a doplnění některých zákonů</dc:description>
  <dc:subject/>
  <cp:keywords/>
  <cp:category/>
  <cp:lastModifiedBy/>
  <dcterms:created xsi:type="dcterms:W3CDTF">2013-05-10T00:00:00+02:00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