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osoba usazená v členském státě Evropské unie, která uvede na trh výrobek z jiného než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hospodářským subjektem výrobce, dovozce, distributor a zplnomocněný zástupce.</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pozastavení a zrušení tohoto pověření.</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existence závazku uzavřít v rozsahu udělené autorizace smlouvu o provedení úkonů podle stanoveného postupu posuzování shody.</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změní-li se skutečnosti, na jejichž základě bylo vydáno rozhodnutí o autorizaci. Pověření zaměstnanci Úřadu jsou oprávněni vstupovat do objektů autorizovaných osob a vyžadovat předložení dokumentace související s činností autorizované osoby.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 Nejde-li o výjimku podle věty třetí, jsou zaměstnanci autorizované osoby povinni na žádost dokumentaci předložit.</w:t>
      </w:r>
    </w:p>
    <w:p>
      <w:pPr>
        <w:ind w:left="0" w:right="0"/>
      </w:pPr>
      <w:r>
        <w:rPr>
          <w:b/>
          <w:bCs/>
        </w:rPr>
        <w:t xml:space="preserve">(5)</w:t>
      </w:r>
      <w:r>
        <w:rPr/>
        <w:t xml:space="preserve">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účinnosti rozhodnutí o autorizaci,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rozhodnutí o autorizaci,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rozhodnutí o autorizaci.</w:t>
      </w:r>
    </w:p>
    <w:p>
      <w:pPr>
        <w:ind w:left="0" w:right="0"/>
      </w:pPr>
      <w:r>
        <w:rPr>
          <w:b/>
          <w:bCs/>
        </w:rPr>
        <w:t xml:space="preserve">(6)</w:t>
      </w:r>
      <w:r>
        <w:rPr/>
        <w:t xml:space="preserve">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pPr>
        <w:ind w:left="0" w:right="0"/>
      </w:pPr>
      <w:r>
        <w:rPr>
          <w:b/>
          <w:bCs/>
        </w:rPr>
        <w:t xml:space="preserve">(7)</w:t>
      </w:r>
      <w:r>
        <w:rPr/>
        <w:t xml:space="preserve">  V případě zrušení rozhodnutí o autorizaci je autorizovaná osoba povinna po nabytí právní moci tohoto rozhodnutí předat Úřadu veškeré dokumenty, týkající se posuzování shody prováděné touto osobou. V případě změny nebo pozastavení účinnosti rozhodnutí o autorizaci je autorizovaná osoba povinna po nabytí právní moci takového rozhodnutí předat dokumenty podle věty první Úřadu, pokud o to Úřad požádá.</w:t>
      </w:r>
    </w:p>
    <w:p>
      <w:pPr>
        <w:ind w:left="0" w:right="0"/>
      </w:pPr>
      <w:r>
        <w:rPr>
          <w:b/>
          <w:bCs/>
        </w:rPr>
        <w:t xml:space="preserve">(8)</w:t>
      </w:r>
      <w:r>
        <w:rPr/>
        <w:t xml:space="preserve"> Autorizace, jejich rozsah a změny se zveřejňují oznámením ve Věstníku Úřadu.</w:t>
      </w:r>
    </w:p>
    <w:p>
      <w:pPr>
        <w:ind w:left="0" w:right="0"/>
      </w:pPr>
      <w:r>
        <w:rPr>
          <w:b/>
          <w:bCs/>
        </w:rPr>
        <w:t xml:space="preserve">(9)</w:t>
      </w:r>
      <w:r>
        <w:rPr/>
        <w:t xml:space="preserve">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pPr>
        <w:ind w:left="0" w:right="0"/>
      </w:pPr>
      <w:r>
        <w:rPr>
          <w:b/>
          <w:bCs/>
        </w:rPr>
        <w:t xml:space="preserve">(10)</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a v rozsahu stanoveném nařízením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vyzvat výrobce, aby přijal vhodná nápravná opatření, pokud autorizovaná osoba v průběhu posouzení shody nebo následně zjistí, že výrobky nesplňují technické požadavky stanovené v příslušném nařízení vlády podle § 12 odst.  1 písm.  b),</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informovat Úřad o všech žádostech orgánů dozoru týkajících se činností posuzování shody,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informovat Úřad na vyžádání o jimi provedených činnostech posuzování shody a o jakýchkoli jiných provedených činnostech, včetně přeshraničních činností a zadávání subdodávek.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ind w:left="0" w:right="0"/>
      </w:pPr>
      <w:r>
        <w:rPr>
          <w:b/>
          <w:bCs/>
        </w:rPr>
        <w:t xml:space="preserve">(4)</w:t>
      </w:r>
      <w:r>
        <w:rPr/>
        <w:t xml:space="preserve">  Pokud autorizovaná osoba obdrží podnět podle § 18 odst.  3, je povinna přezkoumat certifikát nebo jiný dokument vydaný podle § 11a odst.  2 písm.  c) bodu 1 a o výsledku přezkumu podat orgánu dozoru zprávu.</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 Pokud tyto osoby uvedené povinnosti neplní, je povinna zajistit jejich plnění osoba, která jako poslední dodává stanovený výrobek na trh.</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pPr>
        <w:ind w:left="0" w:right="0"/>
      </w:pPr>
      <w:r>
        <w:rPr>
          <w:b/>
          <w:bCs/>
        </w:rPr>
        <w:t xml:space="preserve">(10)</w:t>
      </w:r>
      <w:r>
        <w:rPr/>
        <w:t xml:space="preserve">  Výrobce nebo dovozce činí u výrobků stanovených nařízením vlády a s ohledem na jejich povahu a rizika, která tyto výrobky představují, opatření za účelem ochrany zdraví a bezpečnosti osob.</w:t>
      </w:r>
    </w:p>
    <w:p>
      <w:pPr>
        <w:ind w:left="0" w:right="0"/>
      </w:pPr>
      <w:r>
        <w:rPr>
          <w:b/>
          <w:bCs/>
        </w:rPr>
        <w:t xml:space="preserve">(11)</w:t>
      </w:r>
      <w:r>
        <w:rPr/>
        <w:t xml:space="preserve">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pPr>
        <w:ind w:left="0" w:right="0"/>
      </w:pPr>
      <w:r>
        <w:rPr>
          <w:b/>
          <w:bCs/>
        </w:rPr>
        <w:t xml:space="preserve">(12)</w:t>
      </w:r>
      <w:r>
        <w:rPr/>
        <w:t xml:space="preserve">  Výrobce, dovozce, distributor nebo zplnomocněný zástupce uchovává u výrobků stanovených nařízením vlády údaje potřebné k identifikaci všech hospodářských subjektů, které mu předaly stanovený výrobek a kterým předal stanovený výrobek.</w:t>
      </w:r>
    </w:p>
    <w:p>
      <w:pPr>
        <w:ind w:left="0" w:right="0"/>
      </w:pPr>
      <w:r>
        <w:rPr>
          <w:b/>
          <w:bCs/>
        </w:rPr>
        <w:t xml:space="preserve">(13)</w:t>
      </w:r>
      <w:r>
        <w:rPr/>
        <w:t xml:space="preserve">  Dovozce nebo distributor zajistí u výrobků stanovených nařízením vlády skladovací a přepravní podmínky, které neohrožují soulad stanoveného výrobku, který hodlá uvést nebo dodat na trh, s požadavky tohoto zákona.</w:t>
      </w:r>
    </w:p>
    <w:p>
      <w:pPr>
        <w:ind w:left="0" w:right="0"/>
      </w:pPr>
      <w:r>
        <w:rPr>
          <w:b/>
          <w:bCs/>
        </w:rPr>
        <w:t xml:space="preserve">(14)</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pStyle w:val="Heading4"/>
      </w:pPr>
      <w:r>
        <w:rPr>
          <w:b/>
          <w:bCs/>
        </w:rPr>
        <w:t xml:space="preserve">§ 13a</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pStyle w:val="Heading3"/>
      </w:pPr>
      <w:r>
        <w:rPr>
          <w:b/>
          <w:bCs/>
        </w:rPr>
        <w:t xml:space="preserve">§ 16</w:t>
      </w:r>
      <w:r>
        <w:rPr>
          <w:rStyle w:val="hidden"/>
        </w:rPr>
        <w:t xml:space="preserve"> -</w:t>
      </w:r>
      <w:br/>
      <w:r>
        <w:rPr/>
        <w:t xml:space="preserve">Osvědčení o akreditaci</w:t>
      </w:r>
    </w:p>
    <w:p>
      <w:pPr>
        <w:ind w:left="0" w:right="0"/>
      </w:pPr>
      <w:r>
        <w:rPr>
          <w:b/>
          <w:bCs/>
        </w:rPr>
        <w:t xml:space="preserve">(1)</w:t>
      </w:r>
      <w:r>
        <w:rPr/>
        <w:t xml:space="preserve">  Akreditační orgán rozhodne na žádost subjektu posuzování shody o vydání osvědčení o akreditaci (dále jen „osvědčení“), pokud tento subjekt splňuje požadavky pro provádění konkrétní činnosti posuzování shody, kterou stanoví harmonizované normy, případně jiné dokumenty v oblasti posuzování shody (dále jen „požadavky“). Akreditační orgán při posuzování žádosti zohlední již vydaná osvědčení pro týž subjekt posuzování shody. Pokud nelze osvědčení podle věty první vydat bezodkladně, vydá ho akreditační orgán nejpozději do 120 dnů ode dne doručení žádosti. Ve zvlášť odůvodněných případech akreditační orgán může rozhodnout ve lhůtě delší, avšak nejvýše o dalších 5 měsíců.</w:t>
      </w:r>
    </w:p>
    <w:p>
      <w:pPr>
        <w:ind w:left="0" w:right="0"/>
      </w:pPr>
      <w:r>
        <w:rPr>
          <w:b/>
          <w:bCs/>
        </w:rPr>
        <w:t xml:space="preserve">(2)</w:t>
      </w:r>
      <w:r>
        <w:rPr/>
        <w:t xml:space="preserve"> Žádost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příjmení a bydliště, je-li subjektem posuzování shody fyzická osoba, nebo obchodní firmu nebo název a sídlo, je-li subjektem posuzování shody právnická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požadovaný předmět a rozsah činnosti subjektu posuzování shody.</w:t>
      </w:r>
    </w:p>
    <w:p>
      <w:pPr>
        <w:ind w:left="0" w:right="0"/>
      </w:pPr>
      <w:r>
        <w:rPr/>
        <w:t xml:space="preserve">Akreditační orgán si může vyžádat další informace nebo dokumenty nezbytné k posouzení požadovaného předmětu činnosti subjektu posuzování shody.</w:t>
      </w:r>
    </w:p>
    <w:p>
      <w:pPr>
        <w:ind w:left="0" w:right="0"/>
      </w:pPr>
      <w:r>
        <w:rPr>
          <w:b/>
          <w:bCs/>
        </w:rPr>
        <w:t xml:space="preserve">(3)</w:t>
      </w:r>
      <w:r>
        <w:rPr/>
        <w:t xml:space="preserve">  Pokud subjekt posuzování shody požadavky nesplňuje, akreditační orgán rozhodnutím žádost o vydání osvědčení zamítne.</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musí obsahovat identifikační údaje akreditačního orgánu a subjektu posuzování shody a vymezení předmětu, rozsahu a podmínek činnosti subjektu posuzování shody, na kterou se toto osvědčení vztahuje, a dobu jeho platnosti. Oznámení o vydaných osvědčeních se zveřejňují ve Věstníku Úřadu a dále je akreditační orgán zveřejní způsobem umožňujícím dálkový přístup.</w:t>
      </w:r>
    </w:p>
    <w:p>
      <w:pPr>
        <w:ind w:left="0" w:right="0"/>
      </w:pPr>
      <w:r>
        <w:rPr>
          <w:b/>
          <w:bCs/>
        </w:rPr>
        <w:t xml:space="preserve">(6)</w:t>
      </w:r>
      <w:r>
        <w:rPr/>
        <w:t xml:space="preserve">  Akreditační orgán prověřuje následně u subjektu posuzování shody, na jeho náklady, plnění požadavků. Pokud akreditační orgán zjistí, že subjekt posuzování shody nesplňuje požadavky, na jejichž základě mu bylo vydáno osvědčení, rozhodne o pozastavení účinnosti osvědčení a stanoví lhůtu pro zjednání nápravy. Jestli subjekt posuzování shody ve stanovené lhůtě nezjedná nápravu, akreditační orgán rozhodne o zrušení osvědčení.</w:t>
      </w:r>
    </w:p>
    <w:p>
      <w:pPr>
        <w:ind w:left="0" w:right="0"/>
      </w:pPr>
      <w:r>
        <w:rPr>
          <w:b/>
          <w:bCs/>
        </w:rPr>
        <w:t xml:space="preserve">(7)</w:t>
      </w:r>
      <w:r>
        <w:rPr/>
        <w:t xml:space="preserve">  O odvolání proti rozhodnutí akreditačního orgánu o zamítnutí žádosti o vydání osvědčení, o pozastavení účinnosti osvědčení nebo o zrušení osvědčení rozhoduje Ministerstvo. O odvolání proti ostatním rozhodnutím a usnesením akreditačního orgánu rozhoduje statutární orgán akreditačního orgánu. Odvolání nemá odkladný účinek.</w:t>
      </w:r>
    </w:p>
    <w:p>
      <w:pPr>
        <w:ind w:left="0" w:right="0"/>
      </w:pPr>
      <w:r>
        <w:rPr>
          <w:b/>
          <w:bCs/>
        </w:rPr>
        <w:t xml:space="preserve">(8)</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w:t>
      </w:r>
    </w:p>
    <w:p>
      <w:pPr>
        <w:pStyle w:val="Heading3"/>
      </w:pPr>
      <w:r>
        <w:rPr>
          <w:b/>
          <w:bCs/>
        </w:rPr>
        <w:t xml:space="preserve">§ 17</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 kromě pravomocí kontrolních orgánů podle zákona o státní kontrole nebo podle zvláštních právních předpisů</w:t>
      </w:r>
      <w:r>
        <w:rPr>
          <w:vertAlign w:val="superscript"/>
        </w:rPr>
        <w:t xml:space="preserve">4c</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odebírat za náhradu od kontrolovaných osob potřebné vzorky výrobků nebo vzorek ze série výrobku k posouzení, zda tyto výrobky splňují požadavky tohoto zákona, nestanoví-li zvláštní zákon jinak</w:t>
      </w:r>
      <w:r>
        <w:rPr>
          <w:vertAlign w:val="superscript"/>
        </w:rPr>
        <w:t xml:space="preserve">4d</w:t>
      </w:r>
      <w:r>
        <w:rPr/>
        <w:t xml:space="preserve">)</w:t>
      </w:r>
      <w:r>
        <w:rPr/>
        <w:t xml:space="preserve">; za odebrané vzorky výrobků se kontrolované osobě poskytne náhrada ve výši ceny, za kterou se výrobek v okamžiku odebrání vzorku nabízí; náhrada se neposkytne, jestliže se jí kontrolovaná osoba vzdá; nárok na náhradu nevzniká, pokud jde o výrobek, který nesplňuje požadavky stanovené tímto zákonem, popřípadě předpisy vydanými k jeho provedení,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rozbory nebo zajistit provedení rozborů k ověření toho, zda výrobky plní požadavky tohoto zákona; provedení těchto rozborů se zajišťuje u příslušných orgánů nebo osob; pokud bylo rozborem zjištěno, že výrobek nesplňuje požadavky tohoto zákona, hradí náklady na provedení rozboru kontrolovaná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 s ohledem na vážnost zjištěného rizika může orgán dozoru uložit těmto osobám povinnost informovat orgán dozoru o provedených opatřeních,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povinnost bezodkladně informovat o nebezpečí osoby, které by mohly být vystaveny nebezpečí plynoucímu z výrobku.</w:t>
      </w:r>
    </w:p>
    <w:p>
      <w:pPr>
        <w:ind w:left="0" w:right="0"/>
      </w:pPr>
      <w:r>
        <w:rPr>
          <w:b/>
          <w:bCs/>
        </w:rPr>
        <w:t xml:space="preserve">(3)</w:t>
      </w:r>
      <w:r>
        <w:rPr/>
        <w:t xml:space="preserve">  Orgány dozoru mohou, mají-li důvodné pochybnosti, že stanovený výrobek nesplňuje technické požadavky stanovené v příslušném nařízení vlády podle § 12 odst.  1 písm.  b), dát autorizované osobě podnět, aby přezkoumala certifikát vydaný podle § 11a odst.  2 písm.  c) bodu 1. V případě, že se prokáže, že stanovený výrobek nesplňuje požadavky podle věty první, orgány dozoru mohou uložit autorizované osobě, aby příslušný certifikát odebrala.</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zakáže uvádění na trh, uvádění do provozu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3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distribuce.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r>
        <w:rPr>
          <w:rStyle w:val="hidden"/>
        </w:rPr>
        <w:t xml:space="preserve"> -</w:t>
      </w:r>
      <w:br/>
      <w:r>
        <w:rPr/>
        <w:t xml:space="preserve">Oznamovací povinnost</w:t>
      </w:r>
    </w:p>
    <w:p>
      <w:pPr>
        <w:jc w:val="center"/>
        <w:ind w:left="0" w:right="0"/>
      </w:pPr>
      <w:r>
        <w:rPr>
          <w:b/>
          <w:bCs/>
        </w:rPr>
        <w:t xml:space="preserve">(1)</w:t>
      </w:r>
      <w:r>
        <w:rPr/>
        <w:t xml:space="preserve">  Orgány dozoru jsou povinny oznámit Ministerstvu přijetí opatření týkající se výrobku nebo série výrobku v případech, kdy výrobek představuje vážné riziko</w:t>
      </w:r>
      <w:r>
        <w:rPr>
          <w:vertAlign w:val="superscript"/>
        </w:rPr>
        <w:t xml:space="preserve">4e</w:t>
      </w:r>
      <w:r>
        <w:rPr/>
        <w:t xml:space="preserve">)</w:t>
      </w:r>
      <w:r>
        <w:rPr/>
        <w:t xml:space="preserve">. To platí i v případě opatření, které přijme kontrolovaná osoba z vlastní iniciativy a orgán dozoru obdrží informaci o tomto opatření.</w:t>
      </w:r>
    </w:p>
    <w:p>
      <w:pPr>
        <w:ind w:left="0" w:right="0"/>
      </w:pPr>
      <w:r>
        <w:rPr>
          <w:b/>
          <w:bCs/>
        </w:rPr>
        <w:t xml:space="preserve">(2)</w:t>
      </w:r>
      <w:r>
        <w:rPr/>
        <w:t xml:space="preserve">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pPr>
        <w:ind w:left="0" w:right="0"/>
      </w:pPr>
      <w:r>
        <w:rPr>
          <w:b/>
          <w:bCs/>
        </w:rPr>
        <w:t xml:space="preserve">(3)</w:t>
      </w:r>
      <w:r>
        <w:rPr/>
        <w:t xml:space="preserve">  Pokud ohrožení podle odstavce  1 přesáhne území České republiky, Ministerstvo je povinno neprodleně informovat o výskytu takového výrobku Komisi Evropských společenství.</w:t>
      </w:r>
    </w:p>
    <w:p>
      <w:pPr>
        <w:ind w:left="0" w:right="0"/>
      </w:pPr>
      <w:r>
        <w:rPr>
          <w:b/>
          <w:bCs/>
        </w:rPr>
        <w:t xml:space="preserve">(4)</w:t>
      </w:r>
      <w:r>
        <w:rPr/>
        <w:t xml:space="preserve">  Obdrží-li Ministerstvo od Komise Evropských společenství informaci o přijetí opatření vůči výrobku nebo sérii výrobků představujícím vážné riziko, předá tyto informace bez zbytečného odkladu orgánům dozoru k dalšímu postupu.</w:t>
      </w:r>
    </w:p>
    <w:p>
      <w:pPr>
        <w:ind w:left="0" w:right="0"/>
      </w:pPr>
      <w:r>
        <w:rPr>
          <w:b/>
          <w:bCs/>
        </w:rPr>
        <w:t xml:space="preserve">(5)</w:t>
      </w:r>
      <w:r>
        <w:rPr/>
        <w:t xml:space="preserve">  K zajištění fungování systému výměny informací podle odstavců 1 až 3 se obdobně použije zvláštní právní předpis upravující postupy, obsah a formu informace o výskytu nebezpečných nepotravinářských výrobků</w:t>
      </w:r>
      <w:r>
        <w:rPr>
          <w:vertAlign w:val="superscript"/>
        </w:rPr>
        <w:t xml:space="preserve">4f</w:t>
      </w:r>
      <w:r>
        <w:rPr/>
        <w:t xml:space="preserve">)</w:t>
      </w:r>
      <w:r>
        <w:rPr/>
        <w:t xml:space="preserve">.</w:t>
      </w:r>
    </w:p>
    <w:p>
      <w:pPr>
        <w:ind w:left="0" w:right="0"/>
      </w:pPr>
      <w:r>
        <w:rPr>
          <w:b/>
          <w:bCs/>
        </w:rPr>
        <w:t xml:space="preserve">(6)</w:t>
      </w:r>
      <w:r>
        <w:rPr/>
        <w:t xml:space="preserve">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pPr>
        <w:pStyle w:val="Heading3"/>
      </w:pPr>
      <w:r>
        <w:rPr>
          <w:b/>
          <w:bCs/>
        </w:rPr>
        <w:t xml:space="preserve">Správní delikty</w:t>
      </w:r>
    </w:p>
    <w:p>
      <w:pPr>
        <w:pStyle w:val="Heading4"/>
      </w:pPr>
      <w:r>
        <w:rPr>
          <w:b/>
          <w:bCs/>
        </w:rPr>
        <w:t xml:space="preserve">§ 19</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nebo certifikát anebo jiný dokument podle tohoto zákona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nebo certifikát anebo jiný dokument podle tohoto zákona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provede činnost při posouzení shody, vyhrazenou pro účely tohoto zákona akreditované osobě, bez osvědčení podle § 16 odst.  1.</w:t>
      </w:r>
    </w:p>
    <w:p>
      <w:pPr>
        <w:ind w:left="0" w:right="0"/>
      </w:pPr>
      <w:r>
        <w:rPr>
          <w:b/>
          <w:bCs/>
        </w:rPr>
        <w:t xml:space="preserve">(2)</w:t>
      </w:r>
      <w:r>
        <w:rPr/>
        <w:t xml:space="preserve">  Autorizovaná osoba se dopustí správního deliktu tím, že nesplní některou z povinností podle § 11 odst.  7 nebo § 11a odst.  2.</w:t>
      </w:r>
    </w:p>
    <w:p>
      <w:pPr>
        <w:ind w:left="0" w:right="0"/>
      </w:pPr>
      <w:r>
        <w:rPr>
          <w:b/>
          <w:bCs/>
        </w:rPr>
        <w:t xml:space="preserve">(3)</w:t>
      </w:r>
      <w:r>
        <w:rPr/>
        <w:t xml:space="preserve">  Výrobce, dovozce, zplnomocněný zástupce nebo distributor se dopustí správního deliktu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ochranné opatření vydané podle § 18a odst.  1, 3 nebo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nesplní povinnost uloženou orgánem dozoru podle § 18 odst.  2 písm.  c) nebo d).</w:t>
      </w:r>
    </w:p>
    <w:p>
      <w:pPr>
        <w:ind w:left="0" w:right="0"/>
      </w:pPr>
      <w:r>
        <w:rPr>
          <w:b/>
          <w:bCs/>
        </w:rPr>
        <w:t xml:space="preserve">(4)</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dovozce nesplní povinnost podle § 13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nesplní některou z povinností podle § 13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 nebo dovozce nesplní některou z povinností podle § 13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dovozce nebo distributor nesplní některou z povinností podle § 13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výrobce, dovozce, distributor nebo zplnomocněný zástupce nesplní povinnost podle § 13 odst.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dovozce nebo distributor nesplní povinnost podle § 13 odst.  13.</w:t>
      </w:r>
    </w:p>
    <w:p>
      <w:pPr>
        <w:ind w:left="0" w:right="0"/>
      </w:pPr>
      <w:r>
        <w:rPr>
          <w:b/>
          <w:bCs/>
        </w:rPr>
        <w:t xml:space="preserve">(5)</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správní delikt podle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správní delikt podle odstavce  1 písm.  a), d) nebo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správní delikt podle odstavce  1 písm.  b) nebo c) nebo odstavce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správní delikt podle odstavce  4.</w:t>
      </w:r>
    </w:p>
    <w:p>
      <w:pPr>
        <w:pStyle w:val="Heading4"/>
      </w:pPr>
      <w:r>
        <w:rPr>
          <w:b/>
          <w:bCs/>
        </w:rPr>
        <w:t xml:space="preserve">§ 19b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3 let ode dne, kdy se o něm dozvěděl, nejpozději však do 5 let ode dne, kdy byl spáchán.</w:t>
      </w:r>
    </w:p>
    <w:p>
      <w:pPr>
        <w:ind w:left="0" w:right="0"/>
      </w:pPr>
      <w:r>
        <w:rPr>
          <w:b/>
          <w:bCs/>
        </w:rPr>
        <w:t xml:space="preserve">(4)</w:t>
      </w:r>
      <w:r>
        <w:rPr/>
        <w:t xml:space="preserve">  Správní delikty podle § 19 odst.  1 písm.  b) a c), § 19a odst.  1 písm.  b), c), d) a e) a § 19a odst.  2 v prvním stupni projednává Úřad, správní delikty podle § 19 odst.  1 písm.  a) a § 19a odst.  1 písm.  a) a § 19a odst.  3 a 4 v prvním stupni projednává orgán dozoru.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pStyle w:val="Heading3"/>
      </w:pPr>
      <w:r>
        <w:rPr>
          <w:b/>
          <w:bCs/>
        </w:rPr>
        <w:t xml:space="preserve">§ 20</w:t>
      </w:r>
      <w:r>
        <w:rPr>
          <w:rStyle w:val="hidden"/>
        </w:rPr>
        <w:t xml:space="preserve"> -</w:t>
      </w:r>
      <w:br/>
      <w:r>
        <w:rPr/>
        <w:t xml:space="preserve">Řízení</w:t>
      </w:r>
    </w:p>
    <w:p>
      <w:pPr>
        <w:ind w:left="0" w:right="0"/>
      </w:pPr>
      <w:r>
        <w:rPr/>
        <w:t xml:space="preserve">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w:t>
      </w:r>
      <w:r>
        <w:rPr>
          <w:vertAlign w:val="superscript"/>
        </w:rPr>
        <w:t xml:space="preserve">7</w:t>
      </w:r>
      <w:r>
        <w:rPr/>
        <w:t xml:space="preserve">)</w:t>
      </w:r>
      <w:r>
        <w:rPr/>
        <w:t xml:space="preserve"> 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0" w:history="1">
        <w:r>
          <w:rPr>
            <w:color w:val="darkblue"/>
            <w:u w:val="single"/>
          </w:rPr>
          <w:t xml:space="preserve">142/1991 Sb.</w:t>
        </w:r>
      </w:hyperlink>
      <w:r>
        <w:rPr/>
        <w:t xml:space="preserve">, ve znění zákona č. </w:t>
      </w:r>
      <w:hyperlink r:id="rId11"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2"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2 a 9, § 11a odst.  2, § 12, § 13 a § 18 odst.  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3" w:history="1">
        <w:r>
          <w:rPr>
            <w:color w:val="darkblue"/>
            <w:u w:val="single"/>
          </w:rPr>
          <w:t xml:space="preserve">64/1986 Sb.</w:t>
        </w:r>
      </w:hyperlink>
      <w:r>
        <w:rPr/>
        <w:t xml:space="preserve">, o České obchodní inspekci, ve znění zákona České národní rady č. </w:t>
      </w:r>
      <w:hyperlink r:id="rId14"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29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0"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29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7"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3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19"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0" w:history="1">
        <w:r>
          <w:rPr>
            <w:color w:val="darkblue"/>
            <w:u w:val="single"/>
          </w:rPr>
          <w:t xml:space="preserve">§ 4</w:t>
        </w:r>
      </w:hyperlink>
      <w:r>
        <w:rPr>
          <w:sz w:val="19.200000000000003"/>
          <w:szCs w:val="19.200000000000003"/>
        </w:rPr>
        <w:t xml:space="preserve"> odst. 1 zákona č. </w:t>
      </w:r>
      <w:hyperlink r:id="rId19"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1" w:history="1">
        <w:r>
          <w:rPr>
            <w:color w:val="darkblue"/>
            <w:u w:val="single"/>
          </w:rPr>
          <w:t xml:space="preserve">§ 14</w:t>
        </w:r>
      </w:hyperlink>
      <w:r>
        <w:rPr>
          <w:sz w:val="19.200000000000003"/>
          <w:szCs w:val="19.200000000000003"/>
        </w:rPr>
        <w:t xml:space="preserve"> a </w:t>
      </w:r>
      <w:hyperlink r:id="rId22" w:history="1">
        <w:r>
          <w:rPr>
            <w:color w:val="darkblue"/>
            <w:u w:val="single"/>
          </w:rPr>
          <w:t xml:space="preserve">15</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34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3" w:history="1">
        <w:r>
          <w:rPr>
            <w:color w:val="darkblue"/>
            <w:u w:val="single"/>
          </w:rPr>
          <w:t xml:space="preserve">§ 13</w:t>
        </w:r>
      </w:hyperlink>
      <w:r>
        <w:rPr>
          <w:sz w:val="19.200000000000003"/>
          <w:szCs w:val="19.200000000000003"/>
        </w:rPr>
        <w:t xml:space="preserve"> odst. 2 písm. c), </w:t>
      </w:r>
      <w:hyperlink r:id="rId24" w:history="1">
        <w:r>
          <w:rPr>
            <w:color w:val="darkblue"/>
            <w:u w:val="single"/>
          </w:rPr>
          <w:t xml:space="preserve">§ 16</w:t>
        </w:r>
      </w:hyperlink>
      <w:r>
        <w:rPr>
          <w:sz w:val="19.200000000000003"/>
          <w:szCs w:val="19.200000000000003"/>
        </w:rPr>
        <w:t xml:space="preserve">, </w:t>
      </w:r>
      <w:hyperlink r:id="rId25" w:history="1">
        <w:r>
          <w:rPr>
            <w:color w:val="darkblue"/>
            <w:u w:val="single"/>
          </w:rPr>
          <w:t xml:space="preserve">20</w:t>
        </w:r>
      </w:hyperlink>
      <w:r>
        <w:rPr>
          <w:sz w:val="19.200000000000003"/>
          <w:szCs w:val="19.200000000000003"/>
        </w:rPr>
        <w:t xml:space="preserve"> a </w:t>
      </w:r>
      <w:hyperlink r:id="rId26" w:history="1">
        <w:r>
          <w:rPr>
            <w:color w:val="darkblue"/>
            <w:u w:val="single"/>
          </w:rPr>
          <w:t xml:space="preserve">21</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30/1968 Sb.</w:t>
        </w:r>
      </w:hyperlink>
      <w:r>
        <w:rPr/>
        <w:t xml:space="preserve">, o státním zkušebnictví, ve znění zákona č. </w:t>
      </w:r>
      <w:hyperlink r:id="rId27" w:history="1">
        <w:r>
          <w:rPr>
            <w:color w:val="darkblue"/>
            <w:u w:val="single"/>
          </w:rPr>
          <w:t xml:space="preserve">54/1987 Sb.</w:t>
        </w:r>
      </w:hyperlink>
      <w:r>
        <w:rPr/>
        <w:t xml:space="preserve">, zákona č. </w:t>
      </w:r>
      <w:hyperlink r:id="rId28" w:history="1">
        <w:r>
          <w:rPr>
            <w:color w:val="darkblue"/>
            <w:u w:val="single"/>
          </w:rPr>
          <w:t xml:space="preserve">194/1988 Sb.</w:t>
        </w:r>
      </w:hyperlink>
      <w:r>
        <w:rPr/>
        <w:t xml:space="preserve">, zákona č. </w:t>
      </w:r>
      <w:hyperlink r:id="rId29" w:history="1">
        <w:r>
          <w:rPr>
            <w:color w:val="darkblue"/>
            <w:u w:val="single"/>
          </w:rPr>
          <w:t xml:space="preserve">479/1992 Sb.</w:t>
        </w:r>
      </w:hyperlink>
      <w:r>
        <w:rPr/>
        <w:t xml:space="preserve"> a zákona č. </w:t>
      </w:r>
      <w:hyperlink r:id="rId30"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142/1991 Sb.</w:t>
        </w:r>
      </w:hyperlink>
      <w:r>
        <w:rPr/>
        <w:t xml:space="preserve">, o československých technických normách, ve znění zákona č. </w:t>
      </w:r>
      <w:hyperlink r:id="rId11"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1"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2" w:history="1">
        <w:r>
          <w:rPr>
            <w:color w:val="darkblue"/>
            <w:u w:val="single"/>
          </w:rPr>
          <w:t xml:space="preserve">101/1988 Sb.</w:t>
        </w:r>
      </w:hyperlink>
      <w:r>
        <w:rPr/>
        <w:t xml:space="preserve">, o certifikaci výrobků, ve znění vyhlášky č. </w:t>
      </w:r>
      <w:hyperlink r:id="rId33"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4" w:history="1">
        <w:r>
          <w:rPr>
            <w:color w:val="darkblue"/>
            <w:u w:val="single"/>
          </w:rPr>
          <w:t xml:space="preserve">585/1992 Sb.</w:t>
        </w:r>
      </w:hyperlink>
      <w:r>
        <w:rPr/>
        <w:t xml:space="preserve">, kterou se provádí zákon č. </w:t>
      </w:r>
      <w:hyperlink r:id="rId12" w:history="1">
        <w:r>
          <w:rPr>
            <w:color w:val="darkblue"/>
            <w:u w:val="single"/>
          </w:rPr>
          <w:t xml:space="preserve">30/1968 Sb.</w:t>
        </w:r>
      </w:hyperlink>
      <w:r>
        <w:rPr/>
        <w:t xml:space="preserve">, o státním zkušebnictví, ve znění vyhlášky č. </w:t>
      </w:r>
      <w:hyperlink r:id="rId35"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35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6"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7"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38"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39"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0" w:history="1">
        <w:r>
          <w:rPr>
            <w:color w:val="darkblue"/>
            <w:u w:val="single"/>
          </w:rPr>
          <w:t xml:space="preserve">65/1965 Sb.</w:t>
        </w:r>
      </w:hyperlink>
      <w:r>
        <w:rPr>
          <w:sz w:val="19.200000000000003"/>
          <w:szCs w:val="19.200000000000003"/>
        </w:rPr>
        <w:t xml:space="preserve">, zákoník práce, ve znění zákona č. </w:t>
      </w:r>
      <w:hyperlink r:id="rId41"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2"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3" w:history="1">
        <w:r>
          <w:rPr>
            <w:color w:val="darkblue"/>
            <w:u w:val="single"/>
          </w:rPr>
          <w:t xml:space="preserve">258/2000 Sb.</w:t>
        </w:r>
      </w:hyperlink>
      <w:r>
        <w:rPr>
          <w:sz w:val="19.200000000000003"/>
          <w:szCs w:val="19.200000000000003"/>
        </w:rPr>
        <w:t xml:space="preserve">, o ochraně veřejného zdraví, ve znění zákona č. </w:t>
      </w:r>
      <w:hyperlink r:id="rId44" w:history="1">
        <w:r>
          <w:rPr>
            <w:color w:val="darkblue"/>
            <w:u w:val="single"/>
          </w:rPr>
          <w:t xml:space="preserve">254/2001 Sb.</w:t>
        </w:r>
      </w:hyperlink>
      <w:r>
        <w:rPr>
          <w:sz w:val="19.200000000000003"/>
          <w:szCs w:val="19.200000000000003"/>
        </w:rPr>
        <w:t xml:space="preserve"> a zákona č. </w:t>
      </w:r>
      <w:hyperlink r:id="rId45"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6"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3"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4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48"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Například zákon č. </w:t>
      </w:r>
      <w:hyperlink r:id="rId13"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hyperlink r:id="rId49" w:history="1">
        <w:r>
          <w:rPr>
            <w:color w:val="darkblue"/>
            <w:u w:val="single"/>
          </w:rPr>
          <w:t xml:space="preserve">§ 21</w:t>
        </w:r>
      </w:hyperlink>
      <w:r>
        <w:rPr>
          <w:sz w:val="19.200000000000003"/>
          <w:szCs w:val="19.200000000000003"/>
        </w:rPr>
        <w:t xml:space="preserve"> zákona č. </w:t>
      </w:r>
      <w:hyperlink r:id="rId47" w:history="1">
        <w:r>
          <w:rPr>
            <w:color w:val="darkblue"/>
            <w:u w:val="single"/>
          </w:rPr>
          <w:t xml:space="preserve">61/1988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Čl. 20 Nařízení Evropského parlamentu a Rady </w:t>
      </w:r>
      <w:hyperlink r:id="rId38" w:history="1">
        <w:r>
          <w:rPr>
            <w:color w:val="darkblue"/>
            <w:u w:val="single"/>
          </w:rPr>
          <w:t xml:space="preserve">(ES) č. 765/2008</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Nařízení vlády č. </w:t>
      </w:r>
      <w:hyperlink r:id="rId50" w:history="1">
        <w:r>
          <w:rPr>
            <w:color w:val="darkblue"/>
            <w:u w:val="single"/>
          </w:rPr>
          <w:t xml:space="preserve">396/2004 Sb.</w:t>
        </w:r>
      </w:hyperlink>
      <w:r>
        <w:rPr>
          <w:sz w:val="19.200000000000003"/>
          <w:szCs w:val="19.200000000000003"/>
        </w:rPr>
        <w:t xml:space="preserve">, o postupech, obsahu a formě informace o výskytu nebezpečných nepotravinářských výrobků.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9"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1"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1"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2" w:history="1">
        <w:r>
          <w:rPr>
            <w:color w:val="darkblue"/>
            <w:u w:val="single"/>
          </w:rPr>
          <w:t xml:space="preserve">183/2006 Sb.</w:t>
        </w:r>
      </w:hyperlink>
      <w:r>
        <w:rPr>
          <w:sz w:val="19.200000000000003"/>
          <w:szCs w:val="19.200000000000003"/>
        </w:rPr>
        <w:t xml:space="preserve">, o územním plánování a stavebním řádu (stavební zákon).</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53"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53"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53"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1" w:history="1">
        <w:r>
          <w:rPr>
            <w:color w:val="darkblue"/>
            <w:u w:val="single"/>
          </w:rPr>
          <w:t xml:space="preserve">281/2009 Sb.</w:t>
        </w:r>
      </w:hyperlink>
      <w:r>
        <w:rPr/>
        <w:t xml:space="preserve"> nemůže byt zapracována, protože 19 odst.  7 zákona č. </w:t>
      </w:r>
      <w:hyperlink r:id="rId53" w:history="1">
        <w:r>
          <w:rPr>
            <w:color w:val="darkblue"/>
            <w:u w:val="single"/>
          </w:rPr>
          <w:t xml:space="preserve">22/1997 Sb.</w:t>
        </w:r>
      </w:hyperlink>
      <w:r>
        <w:rPr/>
        <w:t xml:space="preserve">, o technických požadavcích na výrobky a o změně a doplnění některých zákonů, ve znění zákona č. </w:t>
      </w:r>
      <w:hyperlink r:id="rId9" w:history="1">
        <w:r>
          <w:rPr>
            <w:color w:val="darkblue"/>
            <w:u w:val="single"/>
          </w:rPr>
          <w:t xml:space="preserve">205/2002 Sb.</w:t>
        </w:r>
      </w:hyperlink>
      <w:r>
        <w:rPr/>
        <w:t xml:space="preserve">, byl již zrušen zákonem č. </w:t>
      </w:r>
      <w:hyperlink r:id="rId54" w:history="1">
        <w:r>
          <w:rPr>
            <w:color w:val="darkblue"/>
            <w:u w:val="single"/>
          </w:rPr>
          <w:t xml:space="preserve">490/2009 Sb.</w:t>
        </w:r>
      </w:hyperlink>
      <w:r>
        <w:rPr/>
        <w:t xml:space="preserve"> (účinnost k 01.01.2010).</w:t>
      </w:r>
    </w:p>
    <w:sectPr>
      <w:headerReference w:type="default" r:id="rId55"/>
      <w:footerReference w:type="default" r:id="rId5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34/2011 Sb. z </w:t>
          </w:r>
          <w:r>
            <w:rPr>
              <w:rStyle w:val="bold"/>
            </w:rPr>
            <w:t xml:space="preserve">20. 7. 2011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02s205" TargetMode="External"/><Relationship Id="rId10" Type="http://schemas.openxmlformats.org/officeDocument/2006/relationships/hyperlink" Target="https://esipa.cz/sbirka/sbsrv.dll/sb?DR=SB&amp;CP=1991s142" TargetMode="External"/><Relationship Id="rId11" Type="http://schemas.openxmlformats.org/officeDocument/2006/relationships/hyperlink" Target="https://esipa.cz/sbirka/sbsrv.dll/sb?DR=SB&amp;CP=1992s632" TargetMode="External"/><Relationship Id="rId12" Type="http://schemas.openxmlformats.org/officeDocument/2006/relationships/hyperlink" Target="https://esipa.cz/sbirka/sbsrv.dll/sb?DR=SB&amp;CP=1968s030" TargetMode="External"/><Relationship Id="rId13" Type="http://schemas.openxmlformats.org/officeDocument/2006/relationships/hyperlink" Target="https://esipa.cz/sbirka/sbsrv.dll/sb?DR=SB&amp;CP=1986s064" TargetMode="External"/><Relationship Id="rId14" Type="http://schemas.openxmlformats.org/officeDocument/2006/relationships/hyperlink" Target="https://esipa.cz/sbirka/sbsrv.dll/sb?DR=SB&amp;CP=1992s240" TargetMode="External"/><Relationship Id="rId15" Type="http://schemas.openxmlformats.org/officeDocument/2006/relationships/hyperlink" Target="https://esipa.cz/sbirka/sbsrv.dll/sb?DR=SB&amp;CP=1990s526" TargetMode="External"/><Relationship Id="rId16" Type="http://schemas.openxmlformats.org/officeDocument/2006/relationships/hyperlink" Target="https://esipa.cz/sbirka/sbsrv.dll/sb?DR=SB&amp;CP=1994s135" TargetMode="External"/><Relationship Id="rId17" Type="http://schemas.openxmlformats.org/officeDocument/2006/relationships/hyperlink" Target="https://esipa.cz/sbirka/sbsrv.dll/sb?DR=SB&amp;CP=1993s020" TargetMode="External"/><Relationship Id="rId18" Type="http://schemas.openxmlformats.org/officeDocument/2006/relationships/hyperlink" Target="https://esipa.cz/sbirka/sbsrv.dll/sb?DR=SB&amp;CP=1967s071" TargetMode="External"/><Relationship Id="rId19" Type="http://schemas.openxmlformats.org/officeDocument/2006/relationships/hyperlink" Target="https://esipa.cz/sbirka/sbsrv.dll/sb?DR=SB&amp;CP=1990s505" TargetMode="External"/><Relationship Id="rId20" Type="http://schemas.openxmlformats.org/officeDocument/2006/relationships/hyperlink" Target="https://esipa.cz/sbirka/sbsrv.dll/sb?DR=SB&amp;CP=1990s505#C01_P004" TargetMode="External"/><Relationship Id="rId21" Type="http://schemas.openxmlformats.org/officeDocument/2006/relationships/hyperlink" Target="https://esipa.cz/sbirka/sbsrv.dll/sb?DR=SB&amp;CP=1990s505#C05_P014" TargetMode="External"/><Relationship Id="rId22" Type="http://schemas.openxmlformats.org/officeDocument/2006/relationships/hyperlink" Target="https://esipa.cz/sbirka/sbsrv.dll/sb?DR=SB&amp;CP=1990s505#C05_P015" TargetMode="External"/><Relationship Id="rId23" Type="http://schemas.openxmlformats.org/officeDocument/2006/relationships/hyperlink" Target="https://esipa.cz/sbirka/sbsrv.dll/sb?DR=SB&amp;CP=1990s505#C05_P013" TargetMode="External"/><Relationship Id="rId24" Type="http://schemas.openxmlformats.org/officeDocument/2006/relationships/hyperlink" Target="https://esipa.cz/sbirka/sbsrv.dll/sb?DR=SB&amp;CP=1990s505#C05_P016" TargetMode="External"/><Relationship Id="rId25" Type="http://schemas.openxmlformats.org/officeDocument/2006/relationships/hyperlink" Target="https://esipa.cz/sbirka/sbsrv.dll/sb?DR=SB&amp;CP=1990s505#C05_P020" TargetMode="External"/><Relationship Id="rId26" Type="http://schemas.openxmlformats.org/officeDocument/2006/relationships/hyperlink" Target="https://esipa.cz/sbirka/sbsrv.dll/sb?DR=SB&amp;CP=1990s505#C05_P021" TargetMode="External"/><Relationship Id="rId27" Type="http://schemas.openxmlformats.org/officeDocument/2006/relationships/hyperlink" Target="https://esipa.cz/sbirka/sbsrv.dll/sb?DR=SB&amp;CP=1987s054" TargetMode="External"/><Relationship Id="rId28" Type="http://schemas.openxmlformats.org/officeDocument/2006/relationships/hyperlink" Target="https://esipa.cz/sbirka/sbsrv.dll/sb?DR=SB&amp;CP=1988s194" TargetMode="External"/><Relationship Id="rId29" Type="http://schemas.openxmlformats.org/officeDocument/2006/relationships/hyperlink" Target="https://esipa.cz/sbirka/sbsrv.dll/sb?DR=SB&amp;CP=1992s479" TargetMode="External"/><Relationship Id="rId30" Type="http://schemas.openxmlformats.org/officeDocument/2006/relationships/hyperlink" Target="https://esipa.cz/sbirka/sbsrv.dll/sb?DR=SB&amp;CP=1992s539" TargetMode="External"/><Relationship Id="rId31" Type="http://schemas.openxmlformats.org/officeDocument/2006/relationships/hyperlink" Target="https://esipa.cz/sbirka/sbsrv.dll/sb?DR=SB&amp;CP=1984s104" TargetMode="External"/><Relationship Id="rId32" Type="http://schemas.openxmlformats.org/officeDocument/2006/relationships/hyperlink" Target="https://esipa.cz/sbirka/sbsrv.dll/sb?DR=SB&amp;CP=1988s101" TargetMode="External"/><Relationship Id="rId33" Type="http://schemas.openxmlformats.org/officeDocument/2006/relationships/hyperlink" Target="https://esipa.cz/sbirka/sbsrv.dll/sb?DR=SB&amp;CP=1993s233" TargetMode="External"/><Relationship Id="rId34" Type="http://schemas.openxmlformats.org/officeDocument/2006/relationships/hyperlink" Target="https://esipa.cz/sbirka/sbsrv.dll/sb?DR=SB&amp;CP=1992s585" TargetMode="External"/><Relationship Id="rId35" Type="http://schemas.openxmlformats.org/officeDocument/2006/relationships/hyperlink" Target="https://esipa.cz/sbirka/sbsrv.dll/sb?DR=SB&amp;CP=1993s232" TargetMode="External"/><Relationship Id="rId36" Type="http://schemas.openxmlformats.org/officeDocument/2006/relationships/hyperlink" Target="https://esipa.cz/sbirka/sbsrv.dll/sb?DR=SB&amp;CP=1995s114" TargetMode="External"/><Relationship Id="rId37" Type="http://schemas.openxmlformats.org/officeDocument/2006/relationships/hyperlink" Target="https://esipa.cz/sbirka/sbsrv.dll/sb?DR=SB&amp;CP=2000s061" TargetMode="External"/><Relationship Id="rId38" Type="http://schemas.openxmlformats.org/officeDocument/2006/relationships/hyperlink" Target="https://esipa.cz/sbirka/sbsrv.dll/sb?DR=SB&amp;CP=32008R0765" TargetMode="External"/><Relationship Id="rId39" Type="http://schemas.openxmlformats.org/officeDocument/2006/relationships/hyperlink" Target="https://esipa.cz/sbirka/sbsrv.dll/sb?DR=SB&amp;CP=31993R0339" TargetMode="External"/><Relationship Id="rId40" Type="http://schemas.openxmlformats.org/officeDocument/2006/relationships/hyperlink" Target="https://esipa.cz/sbirka/sbsrv.dll/sb?DR=SB&amp;CP=1965s065" TargetMode="External"/><Relationship Id="rId41" Type="http://schemas.openxmlformats.org/officeDocument/2006/relationships/hyperlink" Target="https://esipa.cz/sbirka/sbsrv.dll/sb?DR=SB&amp;CP=2000s155" TargetMode="External"/><Relationship Id="rId42" Type="http://schemas.openxmlformats.org/officeDocument/2006/relationships/hyperlink" Target="https://esipa.cz/sbirka/sbsrv.dll/sb?DR=SB&amp;CP=32001L0095" TargetMode="External"/><Relationship Id="rId43" Type="http://schemas.openxmlformats.org/officeDocument/2006/relationships/hyperlink" Target="https://esipa.cz/sbirka/sbsrv.dll/sb?DR=SB&amp;CP=2000s258" TargetMode="External"/><Relationship Id="rId44" Type="http://schemas.openxmlformats.org/officeDocument/2006/relationships/hyperlink" Target="https://esipa.cz/sbirka/sbsrv.dll/sb?DR=SB&amp;CP=2001s254" TargetMode="External"/><Relationship Id="rId45" Type="http://schemas.openxmlformats.org/officeDocument/2006/relationships/hyperlink" Target="https://esipa.cz/sbirka/sbsrv.dll/sb?DR=SB&amp;CP=2001s274" TargetMode="External"/><Relationship Id="rId46" Type="http://schemas.openxmlformats.org/officeDocument/2006/relationships/hyperlink" Target="https://esipa.cz/sbirka/sbsrv.dll/sb?DR=SB&amp;CP=2001s056" TargetMode="External"/><Relationship Id="rId47" Type="http://schemas.openxmlformats.org/officeDocument/2006/relationships/hyperlink" Target="https://esipa.cz/sbirka/sbsrv.dll/sb?DR=SB&amp;CP=1988s061" TargetMode="External"/><Relationship Id="rId48" Type="http://schemas.openxmlformats.org/officeDocument/2006/relationships/hyperlink" Target="https://esipa.cz/sbirka/sbsrv.dll/sb?DR=SB&amp;CP=1994s266" TargetMode="External"/><Relationship Id="rId49" Type="http://schemas.openxmlformats.org/officeDocument/2006/relationships/hyperlink" Target="https://esipa.cz/sbirka/sbsrv.dll/sb?DR=SB&amp;CP=1988s061#C03_P021" TargetMode="External"/><Relationship Id="rId50" Type="http://schemas.openxmlformats.org/officeDocument/2006/relationships/hyperlink" Target="https://esipa.cz/sbirka/sbsrv.dll/sb?DR=SB&amp;CP=2004s396" TargetMode="External"/><Relationship Id="rId51" Type="http://schemas.openxmlformats.org/officeDocument/2006/relationships/hyperlink" Target="https://esipa.cz/sbirka/sbsrv.dll/sb?DR=SB&amp;CP=2009s281" TargetMode="External"/><Relationship Id="rId52" Type="http://schemas.openxmlformats.org/officeDocument/2006/relationships/hyperlink" Target="https://esipa.cz/sbirka/sbsrv.dll/sb?DR=SB&amp;CP=2006s183" TargetMode="External"/><Relationship Id="rId53" Type="http://schemas.openxmlformats.org/officeDocument/2006/relationships/hyperlink" Target="https://esipa.cz/sbirka/sbsrv.dll/sb?DR=SB&amp;CP=1997s022" TargetMode="External"/><Relationship Id="rId54" Type="http://schemas.openxmlformats.org/officeDocument/2006/relationships/hyperlink" Target="https://esipa.cz/sbirka/sbsrv.dll/sb?DR=SB&amp;CP=2009s490" TargetMode="External"/><Relationship Id="rId55" Type="http://schemas.openxmlformats.org/officeDocument/2006/relationships/header" Target="header1.xml"/><Relationship Id="rId5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34/2011 Sb. z 20. 7. 2011</dc:title>
  <dc:description>Zákon o technických požadavcích na výrobky a o změně a doplnění některých zákonů</dc:description>
  <dc:subject/>
  <cp:keywords/>
  <cp:category/>
  <cp:lastModifiedBy/>
  <dcterms:created xsi:type="dcterms:W3CDTF">2011-07-20T00:00:00+02:00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