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okamžik, kdy je výrobek na trhu Evropského společenství poprvé úplatně nebo bezúplatně předán nebo nabídnut k předání za účelem distribuce nebo používání nebo kdy jsou k němu poprvé převedena vlastnická práva,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ten, kdo uvede na trh výrobek z jiného než členského státu Evropské unie nebo uvedení takového výrobku na trh zprostředkuje,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 dodáním výrobku na trh je každé další jeho předání nebo převod po jeho uvedení na trh (dále jen „distribuce“).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 .</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Název česká technická norma a písmenné označení ČSN nesmějí být použity k označení jiných dokumentů.</w:t>
      </w:r>
    </w:p>
    <w:p>
      <w:pPr>
        <w:ind w:left="0" w:right="0"/>
      </w:pPr>
      <w:r>
        <w:rPr>
          <w:b/>
          <w:bCs/>
        </w:rPr>
        <w:t xml:space="preserve">(3)</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ind w:left="0" w:right="0"/>
      </w:pPr>
      <w:r>
        <w:rPr>
          <w:b/>
          <w:bCs/>
        </w:rPr>
        <w:t xml:space="preserve">(4)</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(5)</w:t>
      </w:r>
      <w:r>
        <w:rPr/>
        <w:t xml:space="preserve"> zrušen zákonem č. </w:t>
      </w:r>
      <w:hyperlink r:id="rId7" w:history="1">
        <w:r>
          <w:rPr>
            <w:color w:val="darkblue"/>
            <w:u w:val="single"/>
          </w:rPr>
          <w:t xml:space="preserve">71/2000 Sb.</w:t>
        </w:r>
      </w:hyperlink>
      <w:r>
        <w:rPr/>
        <w:t xml:space="preserve"> (účinnost: 3. dubna 2000)</w:t>
      </w:r>
    </w:p>
    <w:p>
      <w:pPr>
        <w:ind w:left="0" w:right="0"/>
      </w:pPr>
      <w:r>
        <w:rPr>
          <w:b/>
          <w:bCs/>
        </w:rPr>
        <w:t xml:space="preserve">(6)</w:t>
      </w:r>
      <w:r>
        <w:rPr/>
        <w:t xml:space="preserve"> zrušen zákonem č. </w:t>
      </w:r>
      <w:hyperlink r:id="rId7" w:history="1">
        <w:r>
          <w:rPr>
            <w:color w:val="darkblue"/>
            <w:u w:val="single"/>
          </w:rPr>
          <w:t xml:space="preserve">71/2000 Sb.</w:t>
        </w:r>
      </w:hyperlink>
      <w:r>
        <w:rPr/>
        <w:t xml:space="preserve"> (účinnost: 3. dubna 2000)</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a zrušení tohoto pověření.</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a to po dohodě s ministerstvy a jinými ústředními správními úřady, jejichž působnosti se týká posuzování stanovených výrobků prováděné autorizovanými osobami. Nedojde-li k takové dohodě, rozhodne o autorizaci Úřad, jehož rozhodnutí může na základě podnětu dotčeného ministerstva nebo jiného ústředního správního úřadu zrušit vláda. Úřad v rozhodnutí o autorizaci stanoví podmínky pro dodržování jednotného postupu autorizovaných osob při jejich činnosti a vymezí jeho rozsah.</w:t>
      </w:r>
    </w:p>
    <w:p>
      <w:pPr>
        <w:ind w:left="0" w:right="0"/>
      </w:pPr>
      <w:r>
        <w:rPr>
          <w:b/>
          <w:bCs/>
        </w:rPr>
        <w:t xml:space="preserve">(2)</w:t>
      </w:r>
      <w:r>
        <w:rPr/>
        <w:t xml:space="preserve"> Úřad může vydat rozhodnutí o autorizaci, pokud žadatel o autorizaci splňuje všechny podmínky k řádnému zajištění činnosti při posuzování shody stanovené nařízením vlády vydaným k provedení zákona. Pokud nařízení vlády tyto podmínky nestanoví, může Úřad vydat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existence závazku uzavřít v rozsahu udělené autorizace smlouvu o provedení úkonů podle stanoveného postupu posuzování shody.</w:t>
      </w:r>
    </w:p>
    <w:p>
      <w:pPr>
        <w:ind w:left="0" w:right="0"/>
      </w:pPr>
      <w:r>
        <w:rPr/>
        <w:t xml:space="preserve">Při rozhodování o autorizaci lze využít zjištění prokázaných při akreditaci (</w:t>
      </w:r>
      <w:r>
        <w:rPr/>
        <w:t xml:space="preserve">§ 14 až 16</w:t>
      </w:r>
      <w:r>
        <w:rPr/>
        <w:t xml:space="preserve">). Na udělení autorizace není právní nárok.</w:t>
      </w:r>
    </w:p>
    <w:p>
      <w:pPr>
        <w:ind w:left="0" w:right="0"/>
      </w:pPr>
      <w:r>
        <w:rPr>
          <w:b/>
          <w:bCs/>
        </w:rPr>
        <w:t xml:space="preserve">(3)</w:t>
      </w:r>
      <w:r>
        <w:rPr/>
        <w:t xml:space="preserve"> Autorizovaná osoba je povinna neprodleně po doručení rozhodnutí o autorizaci uzavřít smlouvu o pojištění odpovědnosti za škodu. Nejpozději do 30dnů od doručení rozhodnutí o autorizaci předloží autorizovaná osoba doklad o pojištění Úřadu, jinak její autorizace zaniká.</w:t>
      </w:r>
    </w:p>
    <w:p>
      <w:pPr>
        <w:ind w:left="0" w:right="0"/>
      </w:pPr>
      <w:r>
        <w:rPr>
          <w:b/>
          <w:bCs/>
        </w:rPr>
        <w:t xml:space="preserve">(4)</w:t>
      </w:r>
      <w:r>
        <w:rPr/>
        <w:t xml:space="preserve"> Úřad kontroluje, zda autorizované osoby dodržují ustanovení tohoto zákona a nařízení vlády a podmínky uvedené v rozhodnutí o autorizaci, změní-li se skutečnosti, na jejichž základě bylo vydáno rozhodnutí o autorizaci. Pověření zaměstnanci Úřadu jsou oprávněni vstupovat do objektů autorizovaných osob a vyžadovat předložení dokumentace související s činností autorizované osoby. Zaměstnanci autorizovaných osob jsou tuto dokumentaci povinni na žádost předložit.</w:t>
      </w:r>
    </w:p>
    <w:p>
      <w:pPr>
        <w:ind w:left="0" w:right="0"/>
      </w:pPr>
      <w:r>
        <w:rPr>
          <w:b/>
          <w:bCs/>
        </w:rPr>
        <w:t xml:space="preserve">(5)</w:t>
      </w:r>
      <w:r>
        <w:rPr/>
        <w:t xml:space="preserve"> Neplní-li autorizovaná osoba povinnosti nebo podmínky stanovené v tomto zákoně nebo v nařízeních vlády vydaných k jeho provedení a v rozhodnutí o autorizaci, zanikne-li potřeba existence autorizované osoby nebo pokud o to autorizovaná osoba požádá, Úřad po projednání se zúčastněnými ministerstvy a jinými ústředními správními úřady rozhodnutí o autorizaci změní nebo zruší.</w:t>
      </w:r>
    </w:p>
    <w:p>
      <w:pPr>
        <w:ind w:left="0" w:right="0"/>
      </w:pPr>
      <w:r>
        <w:rPr>
          <w:b/>
          <w:bCs/>
        </w:rPr>
        <w:t xml:space="preserve">(6)</w:t>
      </w:r>
      <w:r>
        <w:rPr/>
        <w:t xml:space="preserve"> Autorizace, jejich rozsah a změny se zveřejňují oznámením ve Věstníku Úřadu.</w:t>
      </w:r>
    </w:p>
    <w:p>
      <w:pPr>
        <w:ind w:left="0" w:right="0"/>
      </w:pPr>
      <w:r>
        <w:rPr>
          <w:b/>
          <w:bCs/>
        </w:rPr>
        <w:t xml:space="preserve">(7)</w:t>
      </w:r>
      <w:r>
        <w:rPr/>
        <w:t xml:space="preserve">  Autorizované osoby se oznámením podle § 7 odst.  7 písm.  b) stávají notifikovanými osobami.</w:t>
      </w:r>
    </w:p>
    <w:p>
      <w:pPr>
        <w:ind w:left="0" w:right="0"/>
      </w:pPr>
      <w:r>
        <w:rPr>
          <w:b/>
          <w:bCs/>
        </w:rPr>
        <w:t xml:space="preserve">(8)</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rozsahu stanoveném nařízeními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vydávat na základě technických zjištění certifikáty nebo jiné dokumenty, jejichž platnost mohou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poskytovat kopie certifikátů nebo jiných dokumentů včetně souvisejících dokladů a informace o vydání, odmítnutí nebo zrušení certifikátů nebo jiných dokumentů Úřadu všem věcně příslušným notifikovaným osobám, popřípadě dalším osobám,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Stanovené výrobky mohou výrobci nebo dovozci uvést na trh nebo, stanoví-li tak nařízení vlády, mohou být tyto výrobky uvedeny do provozu, jen splňují-li technické požadavky stanovené podle § 12 odst. 1 písm. b) a po posouzení shody postupem posuzování shody stanoveným podle § 12 odst. 3, a jsou-li splněny podmínky uvedené v odstavci 2.</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 Pokud tyto osoby uvedené povinnosti neplní, je povinna zajistit jejich plnění osoba, která jako poslední uvádí stanovený výrobek na trh.</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w:t>
      </w:r>
    </w:p>
    <w:p>
      <w:pPr>
        <w:ind w:left="0" w:right="0"/>
      </w:pPr>
      <w:r>
        <w:rPr>
          <w:b/>
          <w:bCs/>
        </w:rPr>
        <w:t xml:space="preserve">(10)</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pStyle w:val="Heading4"/>
      </w:pPr>
      <w:r>
        <w:rPr>
          <w:b/>
          <w:bCs/>
        </w:rPr>
        <w:t xml:space="preserve">§ 13a</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Osvědčení o akreditaci</w:t>
      </w:r>
    </w:p>
    <w:p>
      <w:pPr>
        <w:ind w:left="0" w:right="0"/>
      </w:pPr>
      <w:r>
        <w:rPr>
          <w:b/>
          <w:bCs/>
        </w:rPr>
        <w:t xml:space="preserve">(1)</w:t>
      </w:r>
      <w:r>
        <w:rPr/>
        <w:t xml:space="preserve">  Akreditační orgán rozhodne na žádost subjektu posuzování shody o vydání osvědčení o akreditaci (dále jen „osvědčení“), pokud tento subjekt splňuje požadavky pro provádění konkrétní činnosti posuzování shody, kterou stanoví harmonizované normy, případně jiné dokumenty v oblasti posuzování shody (dále jen „požadavky“). Akreditační orgán při posuzování žádosti zohlední již vydaná osvědčení pro týž subjekt posuzování shody. Pokud nelze osvědčení podle věty první vydat bezodkladně, vydá ho akreditační orgán nejpozději do 120 dnů ode dne doručení žádosti. Ve zvlášť odůvodněných případech akreditační orgán může rozhodnout ve lhůtě delší, avšak nejvýše o dalších 5 měsíců.</w:t>
      </w:r>
    </w:p>
    <w:p>
      <w:pPr>
        <w:ind w:left="0" w:right="0"/>
      </w:pPr>
      <w:r>
        <w:rPr>
          <w:b/>
          <w:bCs/>
        </w:rPr>
        <w:t xml:space="preserve">(2)</w:t>
      </w:r>
      <w:r>
        <w:rPr/>
        <w:t xml:space="preserve"> Žádost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příjmení a bydliště, je-li subjektem posuzování shody fyzická osoba, nebo obchodní firmu nebo název a sídlo, je-li subjektem posuzování shody právnická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požadovaný předmět a rozsah činnosti subjektu posuzování shody.</w:t>
      </w:r>
    </w:p>
    <w:p>
      <w:pPr>
        <w:ind w:left="0" w:right="0"/>
      </w:pPr>
      <w:r>
        <w:rPr/>
        <w:t xml:space="preserve">Akreditační orgán si může vyžádat další informace nebo dokumenty nezbytné k posouzení požadovaného předmětu činnosti subjektu posuzování shody.</w:t>
      </w:r>
    </w:p>
    <w:p>
      <w:pPr>
        <w:ind w:left="0" w:right="0"/>
      </w:pPr>
      <w:r>
        <w:rPr>
          <w:b/>
          <w:bCs/>
        </w:rPr>
        <w:t xml:space="preserve">(3)</w:t>
      </w:r>
      <w:r>
        <w:rPr/>
        <w:t xml:space="preserve">  Pokud subjekt posuzování shody požadavky nesplňuje, akreditační orgán rozhodnutím žádost o vydání osvědčení zamítne.</w:t>
      </w:r>
    </w:p>
    <w:p>
      <w:pPr>
        <w:ind w:left="0" w:right="0"/>
      </w:pPr>
      <w:r>
        <w:rPr>
          <w:b/>
          <w:bCs/>
        </w:rPr>
        <w:t xml:space="preserve">(4)</w:t>
      </w:r>
      <w:r>
        <w:rPr/>
        <w:t xml:space="preserve">  Subjekt posuzování shody je povinen akreditačnímu orgánu uhradit skutečně vynaložené náklady spojené s posuzováním jeho žádosti; o výši nákladů vydá rozhodnutí.</w:t>
      </w:r>
    </w:p>
    <w:p>
      <w:pPr>
        <w:ind w:left="0" w:right="0"/>
      </w:pPr>
      <w:r>
        <w:rPr>
          <w:b/>
          <w:bCs/>
        </w:rPr>
        <w:t xml:space="preserve">(5)</w:t>
      </w:r>
      <w:r>
        <w:rPr/>
        <w:t xml:space="preserve">  Osvědčení musí obsahovat identifikační údaje akreditačního orgánu a subjektu posuzování shody a vymezení předmětu, rozsahu a podmínek činnosti subjektu posuzování shody, na kterou se toto osvědčení vztahuje, a dobu jeho platnosti. Oznámení o vydaných osvědčeních se zveřejňují ve Věstníku Úřadu a dále je akreditační orgán zveřejní způsobem umožňujícím dálkový přístup.</w:t>
      </w:r>
    </w:p>
    <w:p>
      <w:pPr>
        <w:ind w:left="0" w:right="0"/>
      </w:pPr>
      <w:r>
        <w:rPr>
          <w:b/>
          <w:bCs/>
        </w:rPr>
        <w:t xml:space="preserve">(6)</w:t>
      </w:r>
      <w:r>
        <w:rPr/>
        <w:t xml:space="preserve">  Akreditační orgán může provádět kontrolu plnění požadavků u subjektu posuzování shody. Pokud akreditační orgán zjistí, že subjekt posuzování shody nesplňuje požadavky, na jejichž základě mu bylo vydáno osvědčení, rozhodne o pozastavení účinnosti osvědčení a stanoví lhůtu pro zjednání nápravy. Jestli subjekt posuzování shody ve stanovené lhůtě nezjedná nápravu, akreditační orgán rozhodne o zrušení osvědčení.</w:t>
      </w:r>
    </w:p>
    <w:p>
      <w:pPr>
        <w:ind w:left="0" w:right="0"/>
      </w:pPr>
      <w:r>
        <w:rPr>
          <w:b/>
          <w:bCs/>
        </w:rPr>
        <w:t xml:space="preserve">(7)</w:t>
      </w:r>
      <w:r>
        <w:rPr/>
        <w:t xml:space="preserve">  O odvolání proti rozhodnutí akreditačního orgánu o zamítnutí žádosti o vydání osvědčení, o pozastavení účinnosti osvědčení nebo o zrušení osvědčení rozhoduje Ministerstvo. Odvolání nemá odkladný účinek.</w:t>
      </w:r>
    </w:p>
    <w:p>
      <w:pPr>
        <w:ind w:left="0" w:right="0"/>
      </w:pPr>
      <w:r>
        <w:rPr>
          <w:b/>
          <w:bCs/>
        </w:rPr>
        <w:t xml:space="preserve">(8)</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w:t>
      </w:r>
    </w:p>
    <w:p>
      <w:pPr>
        <w:pStyle w:val="Heading3"/>
      </w:pPr>
      <w:r>
        <w:rPr>
          <w:b/>
          <w:bCs/>
        </w:rPr>
        <w:t xml:space="preserve">§ 17</w:t>
      </w:r>
    </w:p>
    <w:p>
      <w:pPr>
        <w:jc w:val="center"/>
        <w:ind w:left="0" w:right="0"/>
      </w:pPr>
      <w:r>
        <w:rPr/>
        <w:t xml:space="preserve">zrušen zákonem č. </w:t>
      </w:r>
      <w:hyperlink r:id="rId9" w:history="1">
        <w:r>
          <w:rPr>
            <w:color w:val="darkblue"/>
            <w:u w:val="single"/>
          </w:rPr>
          <w:t xml:space="preserve">205/2002 Sb.</w:t>
        </w:r>
      </w:hyperlink>
      <w:r>
        <w:rPr/>
        <w:t xml:space="preserve"> (účinnost: 1. května 2004)</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 kromě pravomocí kontrolních orgánů podle zákona o státní kontrole nebo podle zvláštních právních předpisů</w:t>
      </w:r>
      <w:r>
        <w:rPr>
          <w:vertAlign w:val="superscript"/>
        </w:rPr>
        <w:t xml:space="preserve">4c</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odebírat za náhradu od kontrolovaných osob potřebné vzorky výrobků nebo vzorek ze série výrobku k posouzení, zda tyto výrobky splňují požadavky tohoto zákona, nestanoví-li zvláštní zákon jinak</w:t>
      </w:r>
      <w:r>
        <w:rPr>
          <w:vertAlign w:val="superscript"/>
        </w:rPr>
        <w:t xml:space="preserve">4d</w:t>
      </w:r>
      <w:r>
        <w:rPr/>
        <w:t xml:space="preserve">)</w:t>
      </w:r>
      <w:r>
        <w:rPr/>
        <w:t xml:space="preserve">; za odebrané vzorky výrobků se kontrolované osobě poskytne náhrada ve výši ceny, za kterou se výrobek v okamžiku odebrání vzorku nabízí; náhrada se neposkytne, jestliže se jí kontrolovaná osoba vzdá; nárok na náhradu nevzniká, pokud jde o výrobek, který nesplňuje požadavky stanovené tímto zákonem, popřípadě předpisy vydanými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 s ohledem na vážnost zjištěného rizika může orgán dozoru uložit těmto osobám povinnost informovat orgán dozoru o provedených opatřeních,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povinnost bezodkladně informovat o nebezpečí osoby, které by mohly být vystaveny nebezpečí plynoucímu z výrobku.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3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distribuce.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nebo certifikát anebo jiný dokument podle tohoto zákona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provede činnost při posouzení shody, vyhrazenou pro účely tohoto zákona akreditované osobě, bez osvědčení podle § 16 odst.  1.</w:t>
      </w:r>
    </w:p>
    <w:p>
      <w:pPr>
        <w:ind w:left="0" w:right="0"/>
      </w:pPr>
      <w:r>
        <w:rPr>
          <w:b/>
          <w:bCs/>
        </w:rPr>
        <w:t xml:space="preserve">(2)</w:t>
      </w:r>
      <w:r>
        <w:rPr/>
        <w:t xml:space="preserve">  Autorizovaná osoba se dopustí správního deliktu tím, že nesplní některou z povinností podle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ochranné opatření vydané podle § 18a odst.  2, 4 nebo 5,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uloženou orgánem dozoru podle § 18 odst.  2 písm.  c) nebo d).</w:t>
      </w:r>
    </w:p>
    <w:p>
      <w:pPr>
        <w:ind w:left="0" w:right="0"/>
      </w:pPr>
      <w:r>
        <w:rPr>
          <w:b/>
          <w:bCs/>
        </w:rPr>
        <w:t xml:space="preserve">(4)</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nebo odstavce  2.</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c), d) a e) a § 19a odst.  2 v prvním stupni projednává Úřad, správní delikty podle § 19 odst.  1 písm.  a) a § 19a odst.  1 písm.  a) a § 19a odst.  3 v prvním stupni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V řízení o pověření právnické osoby k tvorbě a vydávání norem nebo o odnětí tohoto pověření, o pověření právnické osoby k akreditaci nebo o odnětí tohoto pověření, o autorizaci nebo jejím odnětí a o ukládání pokut nebo ochranných opatření se postupuje podle správního řádu.</w:t>
      </w:r>
      <w:r>
        <w:rPr>
          <w:vertAlign w:val="superscript"/>
        </w:rPr>
        <w:t xml:space="preserve">7</w:t>
      </w:r>
      <w:r>
        <w:rPr/>
        <w:t xml:space="preserve">)</w:t>
      </w:r>
      <w:r>
        <w:rPr/>
        <w:t xml:space="preserve"> 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0" w:history="1">
        <w:r>
          <w:rPr>
            <w:color w:val="darkblue"/>
            <w:u w:val="single"/>
          </w:rPr>
          <w:t xml:space="preserve">142/1991 Sb.</w:t>
        </w:r>
      </w:hyperlink>
      <w:r>
        <w:rPr/>
        <w:t xml:space="preserve">, ve znění zákona č. </w:t>
      </w:r>
      <w:hyperlink r:id="rId11"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2"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a 2, § 11a odst.  2, § 12 a 13.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3" w:history="1">
        <w:r>
          <w:rPr>
            <w:color w:val="darkblue"/>
            <w:u w:val="single"/>
          </w:rPr>
          <w:t xml:space="preserve">64/1986 Sb.</w:t>
        </w:r>
      </w:hyperlink>
      <w:r>
        <w:rPr/>
        <w:t xml:space="preserve">, o České obchodní inspekci, ve znění zákona České národní rady č. </w:t>
      </w:r>
      <w:hyperlink r:id="rId14"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26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0"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27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7"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0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19"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0" w:history="1">
        <w:r>
          <w:rPr>
            <w:color w:val="darkblue"/>
            <w:u w:val="single"/>
          </w:rPr>
          <w:t xml:space="preserve">§ 4</w:t>
        </w:r>
      </w:hyperlink>
      <w:r>
        <w:rPr>
          <w:sz w:val="19.200000000000003"/>
          <w:szCs w:val="19.200000000000003"/>
        </w:rPr>
        <w:t xml:space="preserve"> odst. 1 zákona č. </w:t>
      </w:r>
      <w:hyperlink r:id="rId19"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1" w:history="1">
        <w:r>
          <w:rPr>
            <w:color w:val="darkblue"/>
            <w:u w:val="single"/>
          </w:rPr>
          <w:t xml:space="preserve">§ 14</w:t>
        </w:r>
      </w:hyperlink>
      <w:r>
        <w:rPr>
          <w:sz w:val="19.200000000000003"/>
          <w:szCs w:val="19.200000000000003"/>
        </w:rPr>
        <w:t xml:space="preserve"> a </w:t>
      </w:r>
      <w:hyperlink r:id="rId22" w:history="1">
        <w:r>
          <w:rPr>
            <w:color w:val="darkblue"/>
            <w:u w:val="single"/>
          </w:rPr>
          <w:t xml:space="preserve">15</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1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3" w:history="1">
        <w:r>
          <w:rPr>
            <w:color w:val="darkblue"/>
            <w:u w:val="single"/>
          </w:rPr>
          <w:t xml:space="preserve">§ 13</w:t>
        </w:r>
      </w:hyperlink>
      <w:r>
        <w:rPr>
          <w:sz w:val="19.200000000000003"/>
          <w:szCs w:val="19.200000000000003"/>
        </w:rPr>
        <w:t xml:space="preserve"> odst. 2 písm. c), </w:t>
      </w:r>
      <w:hyperlink r:id="rId24" w:history="1">
        <w:r>
          <w:rPr>
            <w:color w:val="darkblue"/>
            <w:u w:val="single"/>
          </w:rPr>
          <w:t xml:space="preserve">§ 16</w:t>
        </w:r>
      </w:hyperlink>
      <w:r>
        <w:rPr>
          <w:sz w:val="19.200000000000003"/>
          <w:szCs w:val="19.200000000000003"/>
        </w:rPr>
        <w:t xml:space="preserve">, </w:t>
      </w:r>
      <w:hyperlink r:id="rId25" w:history="1">
        <w:r>
          <w:rPr>
            <w:color w:val="darkblue"/>
            <w:u w:val="single"/>
          </w:rPr>
          <w:t xml:space="preserve">20</w:t>
        </w:r>
      </w:hyperlink>
      <w:r>
        <w:rPr>
          <w:sz w:val="19.200000000000003"/>
          <w:szCs w:val="19.200000000000003"/>
        </w:rPr>
        <w:t xml:space="preserve"> a </w:t>
      </w:r>
      <w:hyperlink r:id="rId26" w:history="1">
        <w:r>
          <w:rPr>
            <w:color w:val="darkblue"/>
            <w:u w:val="single"/>
          </w:rPr>
          <w:t xml:space="preserve">21</w:t>
        </w:r>
      </w:hyperlink>
      <w:r>
        <w:rPr>
          <w:sz w:val="19.200000000000003"/>
          <w:szCs w:val="19.200000000000003"/>
        </w:rPr>
        <w:t xml:space="preserve"> zákona č. </w:t>
      </w:r>
      <w:hyperlink r:id="rId19"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30/1968 Sb.</w:t>
        </w:r>
      </w:hyperlink>
      <w:r>
        <w:rPr/>
        <w:t xml:space="preserve">, o státním zkušebnictví, ve znění zákona č. </w:t>
      </w:r>
      <w:hyperlink r:id="rId27" w:history="1">
        <w:r>
          <w:rPr>
            <w:color w:val="darkblue"/>
            <w:u w:val="single"/>
          </w:rPr>
          <w:t xml:space="preserve">54/1987 Sb.</w:t>
        </w:r>
      </w:hyperlink>
      <w:r>
        <w:rPr/>
        <w:t xml:space="preserve">, zákona č. </w:t>
      </w:r>
      <w:hyperlink r:id="rId28" w:history="1">
        <w:r>
          <w:rPr>
            <w:color w:val="darkblue"/>
            <w:u w:val="single"/>
          </w:rPr>
          <w:t xml:space="preserve">194/1988 Sb.</w:t>
        </w:r>
      </w:hyperlink>
      <w:r>
        <w:rPr/>
        <w:t xml:space="preserve">, zákona č. </w:t>
      </w:r>
      <w:hyperlink r:id="rId29" w:history="1">
        <w:r>
          <w:rPr>
            <w:color w:val="darkblue"/>
            <w:u w:val="single"/>
          </w:rPr>
          <w:t xml:space="preserve">479/1992 Sb.</w:t>
        </w:r>
      </w:hyperlink>
      <w:r>
        <w:rPr/>
        <w:t xml:space="preserve"> a zákona č. </w:t>
      </w:r>
      <w:hyperlink r:id="rId30"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142/1991 Sb.</w:t>
        </w:r>
      </w:hyperlink>
      <w:r>
        <w:rPr/>
        <w:t xml:space="preserve">, o československých technických normách, ve znění zákona č. </w:t>
      </w:r>
      <w:hyperlink r:id="rId11"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1"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2" w:history="1">
        <w:r>
          <w:rPr>
            <w:color w:val="darkblue"/>
            <w:u w:val="single"/>
          </w:rPr>
          <w:t xml:space="preserve">101/1988 Sb.</w:t>
        </w:r>
      </w:hyperlink>
      <w:r>
        <w:rPr/>
        <w:t xml:space="preserve">, o certifikaci výrobků, ve znění vyhlášky č. </w:t>
      </w:r>
      <w:hyperlink r:id="rId33"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4" w:history="1">
        <w:r>
          <w:rPr>
            <w:color w:val="darkblue"/>
            <w:u w:val="single"/>
          </w:rPr>
          <w:t xml:space="preserve">585/1992 Sb.</w:t>
        </w:r>
      </w:hyperlink>
      <w:r>
        <w:rPr/>
        <w:t xml:space="preserve">, kterou se provádí zákon č. </w:t>
      </w:r>
      <w:hyperlink r:id="rId12" w:history="1">
        <w:r>
          <w:rPr>
            <w:color w:val="darkblue"/>
            <w:u w:val="single"/>
          </w:rPr>
          <w:t xml:space="preserve">30/1968 Sb.</w:t>
        </w:r>
      </w:hyperlink>
      <w:r>
        <w:rPr/>
        <w:t xml:space="preserve">, o státním zkušebnictví, ve znění vyhlášky č. </w:t>
      </w:r>
      <w:hyperlink r:id="rId35"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33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6"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7"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8"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39"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0" w:history="1">
        <w:r>
          <w:rPr>
            <w:color w:val="darkblue"/>
            <w:u w:val="single"/>
          </w:rPr>
          <w:t xml:space="preserve">65/1965 Sb.</w:t>
        </w:r>
      </w:hyperlink>
      <w:r>
        <w:rPr>
          <w:sz w:val="19.200000000000003"/>
          <w:szCs w:val="19.200000000000003"/>
        </w:rPr>
        <w:t xml:space="preserve">, zákoník práce, ve znění zákona č. </w:t>
      </w:r>
      <w:hyperlink r:id="rId41"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2"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5" w:history="1">
        <w:r>
          <w:rPr>
            <w:color w:val="darkblue"/>
            <w:u w:val="single"/>
          </w:rPr>
          <w:t xml:space="preserve">526/1990 Sb.</w:t>
        </w:r>
      </w:hyperlink>
      <w:r>
        <w:rPr>
          <w:sz w:val="19.200000000000003"/>
          <w:szCs w:val="19.200000000000003"/>
        </w:rPr>
        <w:t xml:space="preserve">, o cenách, ve znění zákona č. </w:t>
      </w:r>
      <w:hyperlink r:id="rId16"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3" w:history="1">
        <w:r>
          <w:rPr>
            <w:color w:val="darkblue"/>
            <w:u w:val="single"/>
          </w:rPr>
          <w:t xml:space="preserve">258/2000 Sb.</w:t>
        </w:r>
      </w:hyperlink>
      <w:r>
        <w:rPr>
          <w:sz w:val="19.200000000000003"/>
          <w:szCs w:val="19.200000000000003"/>
        </w:rPr>
        <w:t xml:space="preserve">, o ochraně veřejného zdraví, ve znění zákona č. </w:t>
      </w:r>
      <w:hyperlink r:id="rId44" w:history="1">
        <w:r>
          <w:rPr>
            <w:color w:val="darkblue"/>
            <w:u w:val="single"/>
          </w:rPr>
          <w:t xml:space="preserve">254/2001 Sb.</w:t>
        </w:r>
      </w:hyperlink>
      <w:r>
        <w:rPr>
          <w:sz w:val="19.200000000000003"/>
          <w:szCs w:val="19.200000000000003"/>
        </w:rPr>
        <w:t xml:space="preserve"> a zákona č. </w:t>
      </w:r>
      <w:hyperlink r:id="rId45"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6"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48"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Například zákon č. </w:t>
      </w:r>
      <w:hyperlink r:id="rId13"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4d)</w:t>
      </w:r>
      <w:r>
        <w:rPr/>
        <w:t xml:space="preserve">	</w:t>
      </w:r>
      <w:hyperlink r:id="rId49" w:history="1">
        <w:r>
          <w:rPr>
            <w:color w:val="darkblue"/>
            <w:u w:val="single"/>
          </w:rPr>
          <w:t xml:space="preserve">§ 21</w:t>
        </w:r>
      </w:hyperlink>
      <w:r>
        <w:rPr>
          <w:sz w:val="19.200000000000003"/>
          <w:szCs w:val="19.200000000000003"/>
        </w:rPr>
        <w:t xml:space="preserve"> zákona č. </w:t>
      </w:r>
      <w:hyperlink r:id="rId47" w:history="1">
        <w:r>
          <w:rPr>
            <w:color w:val="darkblue"/>
            <w:u w:val="single"/>
          </w:rPr>
          <w:t xml:space="preserve">61/1988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8"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0"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9"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51" w:history="1">
        <w:r>
          <w:rPr>
            <w:color w:val="darkblue"/>
            <w:u w:val="single"/>
          </w:rPr>
          <w:t xml:space="preserve">531/1990 Sb.</w:t>
        </w:r>
      </w:hyperlink>
      <w:r>
        <w:rPr>
          <w:sz w:val="19.200000000000003"/>
          <w:szCs w:val="19.200000000000003"/>
        </w:rPr>
        <w:t xml:space="preserve">, o územních finančních orgánech,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5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8" w:history="1">
        <w:r>
          <w:rPr>
            <w:color w:val="darkblue"/>
            <w:u w:val="single"/>
          </w:rPr>
          <w:t xml:space="preserve">71/1967 Sb.</w:t>
        </w:r>
      </w:hyperlink>
      <w:r>
        <w:rPr>
          <w:sz w:val="19.200000000000003"/>
          <w:szCs w:val="19.200000000000003"/>
        </w:rPr>
        <w:t xml:space="preserve">, o správním řízení (správní řád).</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3" w:history="1">
        <w:r>
          <w:rPr>
            <w:color w:val="darkblue"/>
            <w:u w:val="single"/>
          </w:rPr>
          <w:t xml:space="preserve">183/2006 Sb.</w:t>
        </w:r>
      </w:hyperlink>
      <w:r>
        <w:rPr>
          <w:sz w:val="19.200000000000003"/>
          <w:szCs w:val="19.200000000000003"/>
        </w:rPr>
        <w:t xml:space="preserve">, o územním plánování a stavebním řádu (stavební zákon).</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4"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4"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4"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sectPr>
      <w:headerReference w:type="default" r:id="rId55"/>
      <w:footerReference w:type="default" r:id="rId5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490/2009 Sb. z </w:t>
          </w:r>
          <w:r>
            <w:rPr>
              <w:rStyle w:val="bold"/>
            </w:rPr>
            <w:t xml:space="preserve">1. 1. 2010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0s07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02s205" TargetMode="External"/><Relationship Id="rId10" Type="http://schemas.openxmlformats.org/officeDocument/2006/relationships/hyperlink" Target="https://esipa.cz/sbirka/sbsrv.dll/sb?DR=SB&amp;CP=1991s142" TargetMode="External"/><Relationship Id="rId11" Type="http://schemas.openxmlformats.org/officeDocument/2006/relationships/hyperlink" Target="https://esipa.cz/sbirka/sbsrv.dll/sb?DR=SB&amp;CP=1992s632" TargetMode="External"/><Relationship Id="rId12" Type="http://schemas.openxmlformats.org/officeDocument/2006/relationships/hyperlink" Target="https://esipa.cz/sbirka/sbsrv.dll/sb?DR=SB&amp;CP=1968s030" TargetMode="External"/><Relationship Id="rId13" Type="http://schemas.openxmlformats.org/officeDocument/2006/relationships/hyperlink" Target="https://esipa.cz/sbirka/sbsrv.dll/sb?DR=SB&amp;CP=1986s064" TargetMode="External"/><Relationship Id="rId14" Type="http://schemas.openxmlformats.org/officeDocument/2006/relationships/hyperlink" Target="https://esipa.cz/sbirka/sbsrv.dll/sb?DR=SB&amp;CP=1992s240" TargetMode="External"/><Relationship Id="rId15" Type="http://schemas.openxmlformats.org/officeDocument/2006/relationships/hyperlink" Target="https://esipa.cz/sbirka/sbsrv.dll/sb?DR=SB&amp;CP=1990s526" TargetMode="External"/><Relationship Id="rId16" Type="http://schemas.openxmlformats.org/officeDocument/2006/relationships/hyperlink" Target="https://esipa.cz/sbirka/sbsrv.dll/sb?DR=SB&amp;CP=1994s135" TargetMode="External"/><Relationship Id="rId17" Type="http://schemas.openxmlformats.org/officeDocument/2006/relationships/hyperlink" Target="https://esipa.cz/sbirka/sbsrv.dll/sb?DR=SB&amp;CP=1993s020" TargetMode="External"/><Relationship Id="rId18" Type="http://schemas.openxmlformats.org/officeDocument/2006/relationships/hyperlink" Target="https://esipa.cz/sbirka/sbsrv.dll/sb?DR=SB&amp;CP=1967s071" TargetMode="External"/><Relationship Id="rId19" Type="http://schemas.openxmlformats.org/officeDocument/2006/relationships/hyperlink" Target="https://esipa.cz/sbirka/sbsrv.dll/sb?DR=SB&amp;CP=1990s505" TargetMode="External"/><Relationship Id="rId20" Type="http://schemas.openxmlformats.org/officeDocument/2006/relationships/hyperlink" Target="https://esipa.cz/sbirka/sbsrv.dll/sb?DR=SB&amp;CP=1990s505#C01_P004" TargetMode="External"/><Relationship Id="rId21" Type="http://schemas.openxmlformats.org/officeDocument/2006/relationships/hyperlink" Target="https://esipa.cz/sbirka/sbsrv.dll/sb?DR=SB&amp;CP=1990s505#C05_P014" TargetMode="External"/><Relationship Id="rId22" Type="http://schemas.openxmlformats.org/officeDocument/2006/relationships/hyperlink" Target="https://esipa.cz/sbirka/sbsrv.dll/sb?DR=SB&amp;CP=1990s505#C05_P015" TargetMode="External"/><Relationship Id="rId23" Type="http://schemas.openxmlformats.org/officeDocument/2006/relationships/hyperlink" Target="https://esipa.cz/sbirka/sbsrv.dll/sb?DR=SB&amp;CP=1990s505#C05_P013" TargetMode="External"/><Relationship Id="rId24" Type="http://schemas.openxmlformats.org/officeDocument/2006/relationships/hyperlink" Target="https://esipa.cz/sbirka/sbsrv.dll/sb?DR=SB&amp;CP=1990s505#C05_P016" TargetMode="External"/><Relationship Id="rId25" Type="http://schemas.openxmlformats.org/officeDocument/2006/relationships/hyperlink" Target="https://esipa.cz/sbirka/sbsrv.dll/sb?DR=SB&amp;CP=1990s505#C05_P020" TargetMode="External"/><Relationship Id="rId26" Type="http://schemas.openxmlformats.org/officeDocument/2006/relationships/hyperlink" Target="https://esipa.cz/sbirka/sbsrv.dll/sb?DR=SB&amp;CP=1990s505#C05_P021" TargetMode="External"/><Relationship Id="rId27" Type="http://schemas.openxmlformats.org/officeDocument/2006/relationships/hyperlink" Target="https://esipa.cz/sbirka/sbsrv.dll/sb?DR=SB&amp;CP=1987s054" TargetMode="External"/><Relationship Id="rId28" Type="http://schemas.openxmlformats.org/officeDocument/2006/relationships/hyperlink" Target="https://esipa.cz/sbirka/sbsrv.dll/sb?DR=SB&amp;CP=1988s194" TargetMode="External"/><Relationship Id="rId29" Type="http://schemas.openxmlformats.org/officeDocument/2006/relationships/hyperlink" Target="https://esipa.cz/sbirka/sbsrv.dll/sb?DR=SB&amp;CP=1992s479" TargetMode="External"/><Relationship Id="rId30" Type="http://schemas.openxmlformats.org/officeDocument/2006/relationships/hyperlink" Target="https://esipa.cz/sbirka/sbsrv.dll/sb?DR=SB&amp;CP=1992s539" TargetMode="External"/><Relationship Id="rId31" Type="http://schemas.openxmlformats.org/officeDocument/2006/relationships/hyperlink" Target="https://esipa.cz/sbirka/sbsrv.dll/sb?DR=SB&amp;CP=1984s104" TargetMode="External"/><Relationship Id="rId32" Type="http://schemas.openxmlformats.org/officeDocument/2006/relationships/hyperlink" Target="https://esipa.cz/sbirka/sbsrv.dll/sb?DR=SB&amp;CP=1988s101" TargetMode="External"/><Relationship Id="rId33" Type="http://schemas.openxmlformats.org/officeDocument/2006/relationships/hyperlink" Target="https://esipa.cz/sbirka/sbsrv.dll/sb?DR=SB&amp;CP=1993s233" TargetMode="External"/><Relationship Id="rId34" Type="http://schemas.openxmlformats.org/officeDocument/2006/relationships/hyperlink" Target="https://esipa.cz/sbirka/sbsrv.dll/sb?DR=SB&amp;CP=1992s585" TargetMode="External"/><Relationship Id="rId35" Type="http://schemas.openxmlformats.org/officeDocument/2006/relationships/hyperlink" Target="https://esipa.cz/sbirka/sbsrv.dll/sb?DR=SB&amp;CP=1993s232" TargetMode="External"/><Relationship Id="rId36" Type="http://schemas.openxmlformats.org/officeDocument/2006/relationships/hyperlink" Target="https://esipa.cz/sbirka/sbsrv.dll/sb?DR=SB&amp;CP=1995s114" TargetMode="External"/><Relationship Id="rId37" Type="http://schemas.openxmlformats.org/officeDocument/2006/relationships/hyperlink" Target="https://esipa.cz/sbirka/sbsrv.dll/sb?DR=SB&amp;CP=2000s061" TargetMode="External"/><Relationship Id="rId38" Type="http://schemas.openxmlformats.org/officeDocument/2006/relationships/hyperlink" Target="https://esipa.cz/sbirka/sbsrv.dll/sb?DR=SB&amp;CP=32008R0765" TargetMode="External"/><Relationship Id="rId39" Type="http://schemas.openxmlformats.org/officeDocument/2006/relationships/hyperlink" Target="https://esipa.cz/sbirka/sbsrv.dll/sb?DR=SB&amp;CP=31993R0339" TargetMode="External"/><Relationship Id="rId40" Type="http://schemas.openxmlformats.org/officeDocument/2006/relationships/hyperlink" Target="https://esipa.cz/sbirka/sbsrv.dll/sb?DR=SB&amp;CP=1965s065" TargetMode="External"/><Relationship Id="rId41" Type="http://schemas.openxmlformats.org/officeDocument/2006/relationships/hyperlink" Target="https://esipa.cz/sbirka/sbsrv.dll/sb?DR=SB&amp;CP=2000s155" TargetMode="External"/><Relationship Id="rId42" Type="http://schemas.openxmlformats.org/officeDocument/2006/relationships/hyperlink" Target="https://esipa.cz/sbirka/sbsrv.dll/sb?DR=SB&amp;CP=32001L0095" TargetMode="External"/><Relationship Id="rId43" Type="http://schemas.openxmlformats.org/officeDocument/2006/relationships/hyperlink" Target="https://esipa.cz/sbirka/sbsrv.dll/sb?DR=SB&amp;CP=2000s258" TargetMode="External"/><Relationship Id="rId44" Type="http://schemas.openxmlformats.org/officeDocument/2006/relationships/hyperlink" Target="https://esipa.cz/sbirka/sbsrv.dll/sb?DR=SB&amp;CP=2001s254" TargetMode="External"/><Relationship Id="rId45" Type="http://schemas.openxmlformats.org/officeDocument/2006/relationships/hyperlink" Target="https://esipa.cz/sbirka/sbsrv.dll/sb?DR=SB&amp;CP=2001s274" TargetMode="External"/><Relationship Id="rId46" Type="http://schemas.openxmlformats.org/officeDocument/2006/relationships/hyperlink" Target="https://esipa.cz/sbirka/sbsrv.dll/sb?DR=SB&amp;CP=2001s05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SB&amp;CP=1994s266" TargetMode="External"/><Relationship Id="rId49" Type="http://schemas.openxmlformats.org/officeDocument/2006/relationships/hyperlink" Target="https://esipa.cz/sbirka/sbsrv.dll/sb?DR=SB&amp;CP=1988s061#C03_P021" TargetMode="External"/><Relationship Id="rId50" Type="http://schemas.openxmlformats.org/officeDocument/2006/relationships/hyperlink" Target="https://esipa.cz/sbirka/sbsrv.dll/sb?DR=SB&amp;CP=2004s396" TargetMode="External"/><Relationship Id="rId51" Type="http://schemas.openxmlformats.org/officeDocument/2006/relationships/hyperlink" Target="https://esipa.cz/sbirka/sbsrv.dll/sb?DR=SB&amp;CP=1990s531" TargetMode="External"/><Relationship Id="rId52" Type="http://schemas.openxmlformats.org/officeDocument/2006/relationships/hyperlink" Target="https://esipa.cz/sbirka/sbsrv.dll/sb?DR=SB&amp;CP=1992s337" TargetMode="External"/><Relationship Id="rId53" Type="http://schemas.openxmlformats.org/officeDocument/2006/relationships/hyperlink" Target="https://esipa.cz/sbirka/sbsrv.dll/sb?DR=SB&amp;CP=2006s183" TargetMode="External"/><Relationship Id="rId54" Type="http://schemas.openxmlformats.org/officeDocument/2006/relationships/hyperlink" Target="https://esipa.cz/sbirka/sbsrv.dll/sb?DR=SB&amp;CP=1997s022" TargetMode="External"/><Relationship Id="rId55" Type="http://schemas.openxmlformats.org/officeDocument/2006/relationships/header" Target="header1.xml"/><Relationship Id="rId5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490/2009 Sb. z 1. 1. 2010</dc:title>
  <dc:description>Zákon o technických požadavcích na výrobky a o změně a doplnění některých zákonů</dc:description>
  <dc:subject/>
  <cp:keywords/>
  <cp:category/>
  <cp:lastModifiedBy/>
  <dcterms:created xsi:type="dcterms:W3CDTF">2010-01-01T00:00:00+01:00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