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na trhu Evropského společenství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než členského státu Evropské unie nebo uvedení takového výrobku na trh zprostředkuje,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provádí následnou obchodní činnost po uvedení výrobku na trh (dále jen „distribuuje“).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 .</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a zrušení tohoto pověření.</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Autorizované osoby se oznámením podle § 7 odst.  7 písm.  b) stávají notifikovanými osobami.</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 jejichž platnost mohou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všem věcně příslušným notifikovaným osobám, popřípadě dalším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CE nebo jiného stanoveného označení, jejich provedení a umístění na výrobku, jeho obalu nebo i v průvodní dokumentaci.</w:t>
      </w:r>
    </w:p>
    <w:p>
      <w:pPr>
        <w:pStyle w:val="Heading4"/>
      </w:pPr>
      <w:r>
        <w:rPr>
          <w:b/>
          <w:bCs/>
        </w:rPr>
        <w:t xml:space="preserve">§ 13</w:t>
      </w:r>
    </w:p>
    <w:p>
      <w:pPr>
        <w:ind w:left="0" w:right="0"/>
      </w:pPr>
      <w:r>
        <w:rPr>
          <w:b/>
          <w:bCs/>
        </w:rPr>
        <w:t xml:space="preserve">(1)</w:t>
      </w:r>
      <w:r>
        <w:rPr/>
        <w:t xml:space="preserve"> Stanovené výrobky mohou výrobci nebo dovozci uvést na trh nebo, stanoví-li tak nařízení vlády, mohou být tyto výrobky uvedeny do provozu, jen splňují-li technické požadavky stanovené podle § 12 odst. 1 písm. b) a po posouzení shody postupem posuzování shody stanoveným podle § 12 odst. 3, a jsou-li splněny podmínky uvedené v odstavci 2.</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uvádí stanovený výrobek na trh.</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w:t>
      </w:r>
    </w:p>
    <w:p>
      <w:pPr>
        <w:ind w:left="0" w:right="0"/>
      </w:pPr>
      <w:r>
        <w:rPr>
          <w:b/>
          <w:bCs/>
        </w:rPr>
        <w:t xml:space="preserve">(10)</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zahájený na žádost právnické osoby nebo fyzické osoby, která je podnikatelem, na jehož základě se vydává osvědčení o tom, že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povinnosti nebo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která má přímý vztah k činnostem podle tohoto zákona,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osobě nebo fyzické osobě, která je podnikatelem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uváděné na trh jsou označeny stanoveným způsobem či zda nebyly neoprávněně označeny, popřípadě zda k nim byl vydán či je přiložen stanovený dokument (§ 13 odst. 2) a zda vlastnosti stanovených výrobků uvedených na trh odpovídají stanoveným technickým požadavkům, provádí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Česká obchodní inspekce,</w:t>
      </w:r>
      <w:r>
        <w:rPr>
          <w:vertAlign w:val="superscript"/>
        </w:rPr>
        <w:t xml:space="preserve">4</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orgán stanovený zvláštním zákonem,</w:t>
      </w:r>
    </w:p>
    <w:p>
      <w:pPr>
        <w:ind w:left="0" w:right="0"/>
      </w:pPr>
      <w:r>
        <w:rPr/>
        <w:t xml:space="preserve">(dále jen „orgán dozoru“).</w:t>
      </w:r>
    </w:p>
    <w:p>
      <w:pPr>
        <w:ind w:left="0" w:right="0"/>
      </w:pPr>
      <w:r>
        <w:rPr>
          <w:b/>
          <w:bCs/>
        </w:rPr>
        <w:t xml:space="preserve">(2)</w:t>
      </w:r>
      <w:r>
        <w:rPr/>
        <w:t xml:space="preserve">  Pokud orgán dozoru zjistí při kontrole odstranitelné nedostatky, uloží jejich odstranění v jím stanovené lhůtě.</w:t>
      </w:r>
    </w:p>
    <w:p>
      <w:pPr>
        <w:ind w:left="0" w:right="0"/>
      </w:pPr>
      <w:r>
        <w:rPr>
          <w:b/>
          <w:bCs/>
        </w:rPr>
        <w:t xml:space="preserve">(3)</w:t>
      </w:r>
      <w:r>
        <w:rPr/>
        <w:t xml:space="preserve">  Při kontrole postupuje Česká obchodní inspekce podle zvláštního právního předpisu.</w:t>
      </w:r>
      <w:r>
        <w:rPr>
          <w:vertAlign w:val="superscript"/>
        </w:rPr>
        <w:t xml:space="preserve">4</w:t>
      </w:r>
      <w:r>
        <w:rPr/>
        <w:t xml:space="preserve">)</w:t>
      </w:r>
    </w:p>
    <w:p>
      <w:pPr>
        <w:ind w:left="0" w:right="0"/>
      </w:pPr>
      <w:r>
        <w:rPr>
          <w:b/>
          <w:bCs/>
        </w:rPr>
        <w:t xml:space="preserve">(4)</w:t>
      </w:r>
      <w:r>
        <w:rPr/>
        <w:t xml:space="preserve">  Zjistí-li orgán dozoru podle odstavce 1 písm.  b) při kontrole, že výrobek je neoprávněně opatřen označením CE nebo jiným stanoveným označením podle tohoto zákona, zakáže kontrolované osobě uvádění takovéhoto výrobku na trh a jeho další distribuci a stanoví termín pro odstranění protiprávního stavu. Toto opatření oznámí orgán dozoru kontrolované osobě a neprodleně o něm učiní písemný záznam.</w:t>
      </w:r>
    </w:p>
    <w:p>
      <w:pPr>
        <w:ind w:left="0" w:right="0"/>
      </w:pPr>
      <w:r>
        <w:rPr>
          <w:b/>
          <w:bCs/>
        </w:rPr>
        <w:t xml:space="preserve">(5)</w:t>
      </w:r>
      <w:r>
        <w:rPr/>
        <w:t xml:space="preserve">  Nesouhlasí-li kontrolovaná osoba s uloženým opatřením podle odstavce 4, může proti němu podat námitky nejpozději do 3 pracovních dnů ode dne seznámení se s písemným záznamem o tomto opatření. Podané námitky nemají odkladný účinek. O podaných námitkách rozhodne bezodkladně vedoucí organizační složky dozorového orgánu, která kontrolu provedla. Písemné vyhotovení rozhodnutí o námitkách se doručuje kontrolované osobě a není proti němu přípustný opravný prostředek.</w:t>
      </w:r>
    </w:p>
    <w:p>
      <w:pPr>
        <w:ind w:left="0" w:right="0"/>
      </w:pPr>
      <w:r>
        <w:rPr>
          <w:b/>
          <w:bCs/>
        </w:rPr>
        <w:t xml:space="preserve">(6)</w:t>
      </w:r>
      <w:r>
        <w:rPr/>
        <w:t xml:space="preserve">  Pokud opatření uložené podle odstavce 4 ve stanoveném termínu nevede k nápravě, může orgán dozoru rozhodnout o ochranném opatření spočívajícím v povinnosti osoby odpovědné za uvedení výrobku na trh stáhnout jej z trhu.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50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jiný dokument vydaný autorizovanou osobou v souvislosti s posuzováním shody,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stanoveného označení nebo dokumentu stanoveného nařízením vlády anebo s klamavým nebo neoprávněným označením nebo dokumentem,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 </w:t>
      </w:r>
      <w:r>
        <w:rPr>
          <w:vertAlign w:val="superscript"/>
        </w:rPr>
        <w:t xml:space="preserve">1b)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opatření uložená k odstranění neoprávněného označení výrobku podle § 18.</w:t>
      </w:r>
    </w:p>
    <w:p>
      <w:pPr>
        <w:ind w:left="0" w:right="0"/>
      </w:pPr>
      <w:r>
        <w:rPr>
          <w:b/>
          <w:bCs/>
        </w:rPr>
        <w:t xml:space="preserve">(2)</w:t>
      </w:r>
      <w:r>
        <w:rPr/>
        <w:t xml:space="preserve"> Výrobcům, dovozcům, distributorům nebo jiným osobám stanoveným v nařízeních vlády, kteří neposkytnou orgánu dozoru ve stanovené lhůtě požadované podklady nebo pravdivé informace nebo neumožní jejich prověření nebo jinak ztěžují postup řízení, může uložit orgán dozoru pokutu do výše 1 milionu Kč, a to i opakovaně.</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českou technickou normu, nebo její část,</w:t>
      </w:r>
      <w:r>
        <w:rPr>
          <w:vertAlign w:val="superscript"/>
        </w:rPr>
        <w:t xml:space="preserve">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 nebo jiný dokument vydávaný autorizovanou osobou v souvislosti s posuzováním shody.</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Pokutu vybírá orgán dozoru a vymáhá územní finanční orgán</w:t>
      </w:r>
      <w:r>
        <w:rPr>
          <w:vertAlign w:val="superscript"/>
        </w:rPr>
        <w:t xml:space="preserve">6</w:t>
      </w:r>
      <w:r>
        <w:rPr/>
        <w:t xml:space="preserve">) podle zvláštního právního předpisu.</w:t>
      </w:r>
      <w:r>
        <w:rPr>
          <w:vertAlign w:val="superscript"/>
        </w:rPr>
        <w:t xml:space="preserve">6a</w:t>
      </w:r>
      <w:r>
        <w:rPr/>
        <w:t xml:space="preserve">)</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4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5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8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9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1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 134a zákona č. </w:t>
      </w:r>
      <w:hyperlink r:id="rId38" w:history="1">
        <w:r>
          <w:rPr>
            <w:color w:val="darkblue"/>
            <w:u w:val="single"/>
          </w:rPr>
          <w:t xml:space="preserve">65/1965 Sb.</w:t>
        </w:r>
      </w:hyperlink>
      <w:r>
        <w:rPr>
          <w:sz w:val="19.200000000000003"/>
          <w:szCs w:val="19.200000000000003"/>
        </w:rPr>
        <w:t xml:space="preserve">, zákoník práce, ve znění zákona č. </w:t>
      </w:r>
      <w:hyperlink r:id="rId39"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4 směrnice Evropského parlamentu a Rady </w:t>
      </w:r>
      <w:hyperlink r:id="rId40"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1" w:history="1">
        <w:r>
          <w:rPr>
            <w:color w:val="darkblue"/>
            <w:u w:val="single"/>
          </w:rPr>
          <w:t xml:space="preserve">258/2000 Sb.</w:t>
        </w:r>
      </w:hyperlink>
      <w:r>
        <w:rPr>
          <w:sz w:val="19.200000000000003"/>
          <w:szCs w:val="19.200000000000003"/>
        </w:rPr>
        <w:t xml:space="preserve">, o ochraně veřejného zdraví, ve znění zákona č. </w:t>
      </w:r>
      <w:hyperlink r:id="rId42" w:history="1">
        <w:r>
          <w:rPr>
            <w:color w:val="darkblue"/>
            <w:u w:val="single"/>
          </w:rPr>
          <w:t xml:space="preserve">254/2001 Sb.</w:t>
        </w:r>
      </w:hyperlink>
      <w:r>
        <w:rPr>
          <w:sz w:val="19.200000000000003"/>
          <w:szCs w:val="19.200000000000003"/>
        </w:rPr>
        <w:t xml:space="preserve"> a zákona č. </w:t>
      </w:r>
      <w:hyperlink r:id="rId43"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4"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5"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4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183/2006 Sb.</w:t>
        </w:r>
      </w:hyperlink>
      <w:r>
        <w:rPr>
          <w:sz w:val="19.200000000000003"/>
          <w:szCs w:val="19.200000000000003"/>
        </w:rPr>
        <w:t xml:space="preserve">, o územním plánování a stavebním řádu (stavební zákon).</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sectPr>
      <w:headerReference w:type="default" r:id="rId48"/>
      <w:footerReference w:type="default" r:id="rId4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481/2008 Sb. z </w:t>
          </w:r>
          <w:r>
            <w:rPr>
              <w:rStyle w:val="bold"/>
            </w:rPr>
            <w:t xml:space="preserve">1. 1. 2009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2s205"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1965s065" TargetMode="External"/><Relationship Id="rId39" Type="http://schemas.openxmlformats.org/officeDocument/2006/relationships/hyperlink" Target="https://esipa.cz/sbirka/sbsrv.dll/sb?DR=SB&amp;CP=2000s155" TargetMode="External"/><Relationship Id="rId40" Type="http://schemas.openxmlformats.org/officeDocument/2006/relationships/hyperlink" Target="https://esipa.cz/sbirka/sbsrv.dll/sb?DR=SB&amp;CP=32001L0095"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1s254" TargetMode="External"/><Relationship Id="rId43" Type="http://schemas.openxmlformats.org/officeDocument/2006/relationships/hyperlink" Target="https://esipa.cz/sbirka/sbsrv.dll/sb?DR=SB&amp;CP=2001s274" TargetMode="External"/><Relationship Id="rId44" Type="http://schemas.openxmlformats.org/officeDocument/2006/relationships/hyperlink" Target="https://esipa.cz/sbirka/sbsrv.dll/sb?DR=SB&amp;CP=2001s056" TargetMode="External"/><Relationship Id="rId45" Type="http://schemas.openxmlformats.org/officeDocument/2006/relationships/hyperlink" Target="https://esipa.cz/sbirka/sbsrv.dll/sb?DR=SB&amp;CP=1990s531" TargetMode="External"/><Relationship Id="rId46" Type="http://schemas.openxmlformats.org/officeDocument/2006/relationships/hyperlink" Target="https://esipa.cz/sbirka/sbsrv.dll/sb?DR=SB&amp;CP=1992s337" TargetMode="External"/><Relationship Id="rId47" Type="http://schemas.openxmlformats.org/officeDocument/2006/relationships/hyperlink" Target="https://esipa.cz/sbirka/sbsrv.dll/sb?DR=SB&amp;CP=2006s183" TargetMode="External"/><Relationship Id="rId48" Type="http://schemas.openxmlformats.org/officeDocument/2006/relationships/header" Target="header1.xm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481/2008 Sb. z 1. 1. 2009</dc:title>
  <dc:description>Zákon o technických požadavcích na výrobky a o změně a doplnění některých zákonů</dc:description>
  <dc:subject/>
  <cp:keywords/>
  <cp:category/>
  <cp:lastModifiedBy/>
  <dcterms:created xsi:type="dcterms:W3CDTF">2009-01-01T00:00:00+01:00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