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Ministerstvo vykonává působnost stavebního úřadu k vydání územního rozhodnutí u staveb souvisejících s úložišti radioaktivních odpadů obsahujících přírodní radionuklidy a u staveb náležejících k provozním celkům, jejichž součástí je jaderné zařízení,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(4)</w:t>
      </w:r>
      <w:r>
        <w:rPr/>
        <w:t xml:space="preserve"> Kraj může po projednání s ministerstvem nařízením odejmout působnost stavebního úřadu obecnímu úřadu uvedenému v odstavci 1 písm. e) nebo určenému podle odstavce 3, pokud nebude splňovat podmínky pro řádný výkon této působnosti. Zároveň určí, který stavební úřad bude vykonávat působnost ve správním obvodu zaniklého stavebního úřadu.</w:t>
      </w:r>
    </w:p>
    <w:p>
      <w:pPr>
        <w:ind w:left="0" w:right="0"/>
      </w:pPr>
      <w:r>
        <w:rPr>
          <w:b/>
          <w:bCs/>
        </w:rPr>
        <w:t xml:space="preserve">(5)</w:t>
      </w:r>
      <w:r>
        <w:rPr/>
        <w:t xml:space="preserve"> Působnost podle tohoto zákona vykonávají stavební úřady uvedené v odstavci 1 písm. b) až e) a v odstavci 3 jako působnost přenesenou.</w:t>
      </w:r>
    </w:p>
    <w:p>
      <w:pPr>
        <w:ind w:left="0" w:right="0"/>
      </w:pPr>
      <w:r>
        <w:rPr>
          <w:b/>
          <w:bCs/>
        </w:rPr>
        <w:t xml:space="preserve">(6)</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(7)</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(8)</w:t>
      </w:r>
      <w:r>
        <w:rPr/>
        <w:t xml:space="preserve"> K vedení řízení podle tohoto zákona, které je navazujícím řízením podle zákona o posuzování vlivů na životní prostředí, je v prvním stupni příslušný obecní úřad obce s rozšířenou působností. Ustanovení odstavce 2 není dotčeno. Obecní úřad obce s rozšířenou působností vykonává rovněž pravomoc podle § 120, 122, 123 a 124.</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přírodní radionuklidy a u staveb náležejících k provozním celkům, jejichž součástí je jaderné zařízení,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(5)</w:t>
      </w:r>
      <w:r>
        <w:rPr/>
        <w:t xml:space="preserve"> V pochybnostech, zda se v konkrétním případě jedná o stavbu podle odstavce 2 nebo 3,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120,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120,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podle § 25,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60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příznivý stav předmětu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zašle návrh zásad územního rozvoje sousedním státům, jejichž území může být uplatňováním zásad územního rozvoje přímo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příznivý stav předmětu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obce v řešeném území a obce sousedící s tímto územím (dále jen „dotčené obce“) a sousední kraje, a to nejméně 30 dnů předem.</w:t>
      </w:r>
    </w:p>
    <w:p>
      <w:pPr>
        <w:ind w:left="0" w:right="0"/>
      </w:pPr>
      <w:r>
        <w:rPr>
          <w:b/>
          <w:bCs/>
        </w:rPr>
        <w:t xml:space="preserve">(2)</w:t>
      </w:r>
      <w:r>
        <w:rPr/>
        <w:t xml:space="preserve"> Dotčené obce, vlastník, správce nebo provozovatel veřejné dopravní nebo veřejné technické infrastruktury (dále jen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7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zásad územního rozvoje zahrnující právní stav po vydání poslední aktualizace a toto vyhotovení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a § 38 až 41. K návrhu aktualizace zásad územního rozvoje krajský úřad zajistí vyhodnocení vlivů na udržitelný rozvoj území. Dojde-li ke zrušení celých zásad územního rozvoje,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na její zpracování včetně vyhodnocení vlivů na udržitelný rozvoj území a úhradou nákladů podle § 45 odst. 2 navrhovatelem. Pokud je pořízení aktualizace zásad územního rozvoje vyvoláno schválením politiky územního rozvoje nebo její aktualizace, hradí takto vyvolané náklady na aktualizaci zásad územního rozvoje a náklady na změny územních plánů Ministerstvo financí,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4);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a na vyhodnocení vlivů na udržitelný rozvoj území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na vyhodnocení vlivů na udržitelný rozvoj území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zašle návrh územního plánu příslušným orgánům sousedního státu, jehož území může být uplatňováním územního plánu přímo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w:t>
      </w:r>
    </w:p>
    <w:p>
      <w:pPr>
        <w:ind w:left="0" w:right="0"/>
      </w:pPr>
      <w:r>
        <w:rPr>
          <w:b/>
          <w:bCs/>
        </w:rPr>
        <w:t xml:space="preserve">(6)</w:t>
      </w:r>
      <w:r>
        <w:rPr/>
        <w:t xml:space="preserve"> Pokud z posouzení vlivu na evropsky významnou lokalitu nebo ptačí oblast vyplyne, že územní plán má významný negativní vliv na příznivý stav předmětu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 5, zastupitelstvo obce bezodkladně rozhodne o pořízení územního plánu nebo jeho změny a o jejím obsahu. Zpráva o uplatňování územního plánu ani zadání změny územního plánu se v tomto případě nezpracovávají. V rozsahu této změny se dále postupuje obdobně podle § 43 až 45, § 50 odst. 2 až 8 a § 51 až 54; vyhodnocení vlivů změny územního plánu na udržitelný rozvoj území se při uvedení územního plánu do souladu s územně plánovací dokumentací kraje nezpracovává. Dojde-li ke zrušení celého územního plánu,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(5)</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(6)</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 Obdržená stanoviska pořizovatel zašle příslušnému úřadu.</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4,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8"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se postupuje přiměřeně podle ustanovení § 61 až 65 a obdobně podle ustanovení § 67 až 69. Při zrušení regulačního plánu se postupuje přiměřeně podle § 61, 67 a 69, ustanovení o zadání a o posuzování vlivů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při zrušení se postupuje podle odstavce 3. Dojde-li ke zrušení celého regulačního plánu, při pořizování se naváže na poslední úkon, který nebyl zrušením zpochybněn, pokud příslušné zastupitelstvo u regulačního plánu pořizovaného z podnětu nerozhodne, že regulační plán nebude pořizován.</w:t>
      </w:r>
    </w:p>
    <w:p>
      <w:pPr>
        <w:pStyle w:val="Heading5"/>
      </w:pPr>
      <w:r>
        <w:rPr>
          <w:b/>
          <w:bCs/>
        </w:rPr>
        <w:t xml:space="preserve">§ 72</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73</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74</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75</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Stavební úřad může vést společné územní a stavební řízení podle § 94a, jsou-li podmínky v území jednoznačné, zejména je-li pro území vydán územní plán nebo regulační plán.</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doklad prokazující jeho vlastnické právo k pozemku nebo stavbě, na nichž se má záměr uskutečnit, nebo smlouvu nebo doklad o právu provést stavbu nebo opatření k pozemkům nebo stavbám anebo souhlas podle § 86 odst. 3.</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které nehraničí s veřejně přístupnými pozemními komunikacemi nebo s veřejným prostranstvím</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jaderné zařízení nebo stavbu pro podnikatelskou činnost, je v souladu s územně plánovací dokumentací, je umisťována v odstupové vzdálenosti od společných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pozemku rodinného domu nebo stavby pro rodinnou rekreaci v zastavěném území umístěný v odstupové vzdálenosti nejméně 2 m od hranice pozemku,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59</w:t>
      </w:r>
      <w:r>
        <w:rPr/>
        <w:t xml:space="preserve">), pokud se nemění její trasa a nedochází k překročení hranice stávajícího ochranného nebo bezpečnostního pásma.</w:t>
      </w:r>
    </w:p>
    <w:p>
      <w:pPr>
        <w:ind w:left="0" w:right="0"/>
      </w:pPr>
      <w:r>
        <w:rPr>
          <w:b/>
          <w:bCs/>
        </w:rPr>
        <w:t xml:space="preserve">(3)</w:t>
      </w:r>
      <w:r>
        <w:rPr/>
        <w:t xml:space="preserve"> Ustanovení odstavce 2 se nevztahuje na kulturní památky a ustanovení odstavce 2 písm. a), f), j), l), n), o), p), r) a s)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p>
    <w:p>
      <w:pPr>
        <w:ind w:left="0" w:right="0"/>
      </w:pPr>
      <w:r>
        <w:rPr>
          <w:b/>
          <w:bCs/>
        </w:rPr>
        <w:t xml:space="preserve">(4)</w:t>
      </w:r>
      <w:r>
        <w:rPr/>
        <w:t xml:space="preserve"> Ustanovení odstavce 2 se nevztahuje na záměry posuzované z hlediska vlivů na životní prostředí.</w:t>
      </w:r>
    </w:p>
    <w:p>
      <w:pPr>
        <w:ind w:left="0" w:right="0"/>
      </w:pPr>
      <w:r>
        <w:rPr>
          <w:b/>
          <w:bCs/>
        </w:rPr>
        <w:t xml:space="preserve">(5)</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(6)</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posuzované z hlediska vlivů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bylo vydáno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smlouvu nebo doklad o právu provést stavbu nebo opatření k pozemkům nebo stavbám,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nebo plánovací smlouvu,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výkresovou dokumentaci a dokladovou část.</w:t>
      </w:r>
    </w:p>
    <w:p>
      <w:pPr>
        <w:ind w:left="0" w:right="0"/>
      </w:pPr>
      <w:r>
        <w:rPr>
          <w:b/>
          <w:bCs/>
        </w:rPr>
        <w:t xml:space="preserve">(3)</w:t>
      </w:r>
      <w:r>
        <w:rPr/>
        <w:t xml:space="preserve"> Jestliže žadatel nemá vlastnické právo, smlouvu nebo doklad o právu provést stavbu nebo opatření k pozemku nebo stavbě, předloží souhlas jejich vlastníka; to neplatí, lze-li pozemek nebo stavbu vyvlastnit.</w:t>
      </w:r>
    </w:p>
    <w:p>
      <w:pPr>
        <w:ind w:left="0" w:right="0"/>
      </w:pPr>
      <w:r>
        <w:rPr>
          <w:b/>
          <w:bCs/>
        </w:rPr>
        <w:t xml:space="preserve">(4)</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(5)</w:t>
      </w:r>
      <w:r>
        <w:rPr/>
        <w:t xml:space="preserve"> Pokud žádost neobsahuje požadované náležitosti, stavební úřad vyzve žadatele k jejímu doplnění a řízení přeruší; usnesení o přerušení se oznamuje pouze žadateli. Pokud dokumentace pro vydání územního rozhodnutí není zpracována projektantem, stavební úřad řízení zastaví; usnesení o zastavení řízení se doručuje pouze žadateli.</w:t>
      </w:r>
    </w:p>
    <w:p>
      <w:pPr>
        <w:ind w:left="0" w:right="0"/>
      </w:pPr>
      <w:r>
        <w:rPr>
          <w:b/>
          <w:bCs/>
        </w:rPr>
        <w:t xml:space="preserve">(6)</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(7)</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(2)</w:t>
      </w:r>
      <w:r>
        <w:rPr/>
        <w:t xml:space="preserve"> V případech záměrů, pro které bylo vydáno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doručuje oznámení o zahájení řízení a další úkony v řízení vyvěšením na úředních deskách příslušných obecních úřadů; obci, která je účastníkem řízení podle § 85 odst. 1 písm. b), se doručuje jednotlivě. Dnem vyvěšení je den vyvěšení na úřední desce správního orgánu, který je stavebním úřadem.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do 60 dnů ode dne zahájení územního řízení; ve zvlášť složitých případech, zejména při postupu podle odstavce 2, stavební úřad rozhodne nejdéle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 pokud se záměr dotýká veřejné dopravní a technické infrastruktury ve vlastnictví obce, nebo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je účastníkem řízení podle § 85 odst. 2 písm. a) a b), může uplatňovat námitky proti projednávanému záměru v rozsahu, jakým je její právo přímo dotčeno. Osoba, která je účastníkem řízení podle § 85 odst. 2 písm. c),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zrušen zákonem č. </w:t>
      </w:r>
      <w:hyperlink r:id="rId9"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místně příslušnému obecnímu úřadu, pokud není stavebním úřadem, a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stanovisko k posouzení vlivů provedení záměru na životní prostředí podle zákona o posuzování vlivů na životní prostředí.</w:t>
      </w:r>
    </w:p>
    <w:p>
      <w:pPr>
        <w:pStyle w:val="Heading4"/>
      </w:pPr>
      <w:r>
        <w:rPr>
          <w:b/>
          <w:bCs/>
        </w:rPr>
        <w:t xml:space="preserve">§ 94a</w:t>
      </w:r>
      <w:r>
        <w:rPr>
          <w:rStyle w:val="hidden"/>
        </w:rPr>
        <w:t xml:space="preserve"> -</w:t>
      </w:r>
      <w:br/>
      <w:r>
        <w:rPr/>
        <w:t xml:space="preserve">Společné územní a stavební řízení</w:t>
      </w:r>
    </w:p>
    <w:p>
      <w:pPr>
        <w:ind w:left="0" w:right="0"/>
      </w:pPr>
      <w:r>
        <w:rPr>
          <w:b/>
          <w:bCs/>
        </w:rPr>
        <w:t xml:space="preserve">(1)</w:t>
      </w:r>
      <w:r>
        <w:rPr/>
        <w:t xml:space="preserve"> Podá-li žadatel žádost o vydání společného územního rozhodnutí a stavebního povolení (dále jen „společné rozhodnutí“) a připojí společnou dokumentaci, je zahájeno společné územní a stavební řízení (dále jen „společné řízení“). Společná dokumentace musí splňovat požadavky na dokumentaci pro vydání územního rozhodnutí a požadavky na projektovou dokumentaci pro vydání stavebního povolení. Na obsah žádosti o vydání společného územního rozhodnutí a stavebního povolení se přiměřeně použijí ustanovení o žádosti o vydání územního rozhodnutí a žádosti o stavební povolení. Pokud povaha věci nebo závazné stanovisko dotčeného orgánu společné řízení vylučuje, rozhodne stavební úřad o vyloučení povolení stavby ze společného řízení a stavební řízení přeruší do nabytí právní moci územního rozhodnutí.</w:t>
      </w:r>
    </w:p>
    <w:p>
      <w:pPr>
        <w:ind w:left="0" w:right="0"/>
      </w:pPr>
      <w:r>
        <w:rPr>
          <w:b/>
          <w:bCs/>
        </w:rPr>
        <w:t xml:space="preserve">(2)</w:t>
      </w:r>
      <w:r>
        <w:rPr/>
        <w:t xml:space="preserve"> K projednání žádosti o vydání společného rozhodnutí stavební úřad nařídí ústní jednání, a je-li to účelné, spojí jej s ohledáním na místě; oznámení o konání ústního jednání se doručí nejméně 15 dnů předem. Pro uplatnění závazných stanovisek dotčených orgánů a námitek účastníků společného řízení se použijí § 89 a 114 obdobně. Stavební úřad může upustit od ústního jednání, jsou-li mu dobře známy poměry v území a žádost poskytuje dostatečný podklad pro posouzení záměru. Upustí-li stavební úřad od ústního jednání, stanoví lhůtu, do kdy mohou účastníci řízení uplatnit své námitky a dotčené orgány závazná stanoviska; tato lhůta nesmí být kratší než 15 dnů. Oznámení o zahájení společného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(3)</w:t>
      </w:r>
      <w:r>
        <w:rPr/>
        <w:t xml:space="preserve"> V případech záměrů, pro které bylo vydáno stanovisko k posouzení vlivů provedení záměru na životní prostředí, může stavební úřad nařídit k projednání žádosti veřejné ústní jednání a postupuje podle § 87 odst. 2. V případech záměrů umisťovaných v území, ve kterém nebyl vydán územní plán, nařídí stavební úřad veřejné ústní jednání vždy. Pro uplatnění závazných stanovisek dotčených orgánů, námitek účastníků společného řízení a připomínek veřejnosti se použijí § 89 a 114 obdobně.</w:t>
      </w:r>
    </w:p>
    <w:p>
      <w:pPr>
        <w:ind w:left="0" w:right="0"/>
      </w:pPr>
      <w:r>
        <w:rPr>
          <w:b/>
          <w:bCs/>
        </w:rPr>
        <w:t xml:space="preserve">(4)</w:t>
      </w:r>
      <w:r>
        <w:rPr/>
        <w:t xml:space="preserve"> Stavební úřad přezkoumá žádost podle § 90 a 111.</w:t>
      </w:r>
    </w:p>
    <w:p>
      <w:pPr>
        <w:ind w:left="0" w:right="0"/>
      </w:pPr>
      <w:r>
        <w:rPr>
          <w:b/>
          <w:bCs/>
        </w:rPr>
        <w:t xml:space="preserve">(5)</w:t>
      </w:r>
      <w:r>
        <w:rPr/>
        <w:t xml:space="preserve"> Výroková část společného rozhodnutí obsahuje výrok o umístění stavby a výrok o povolení stavby. Výrok o povolení stavby je vykonatelný nabytím právní moci výroku o umístění stavby. Po dni nabytí právní moci výroku o umístění stavby postupuje stavební úřad podle § 92 odst. 4 a po dni nabytí právní moci výroku o povolení stavby podle § 115 odst. 3. Doba platnosti společného rozhodnutí je 2 roky za podmínek § 115 odst. 4. Pro prodloužení platnosti společného rozhodnutí se použije § 115 odst. 4 obdobně.</w:t>
      </w:r>
    </w:p>
    <w:p>
      <w:pPr>
        <w:ind w:left="0" w:right="0"/>
      </w:pPr>
      <w:r>
        <w:rPr>
          <w:b/>
          <w:bCs/>
        </w:rPr>
        <w:t xml:space="preserve">(6)</w:t>
      </w:r>
      <w:r>
        <w:rPr/>
        <w:t xml:space="preserve"> Úkony ve společném řízení a společné rozhodnutí doručuje stavební úřad účastníkům řízení a dotčeným orgánům jednotlivě, nejde-li o řízení s velkým počtem účastníků nebo není nařízeno veřejné ústní jednání; v řízení s velkým počtem účastníků se úkony ve společném řízení a společné rozhodnutí doručují postupem podle § 144 odst. 6 správního řádu.</w:t>
      </w:r>
    </w:p>
    <w:p>
      <w:pPr>
        <w:ind w:left="0" w:right="0"/>
      </w:pPr>
      <w:r>
        <w:rPr>
          <w:b/>
          <w:bCs/>
        </w:rPr>
        <w:t xml:space="preserve">(7)</w:t>
      </w:r>
      <w:r>
        <w:rPr/>
        <w:t xml:space="preserve"> Obsahové náležitosti žádosti o vydání společného rozhodnutí, jejích příloh, společné dokumentace a obsahové náležitosti společného rozhodnutí stanoví prováděcí právní předpis.</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mají společnou hranici s těmito pozemky;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Pokud žádost nesplňuje podmínky pro zjednodušené územní řízení, stavební úřad rozhodne usnesením o provedení územního řízení; toto usnesení se oznamuje pouze žadateli a nelze se proti němu odvolat. Lhůta pro vydání rozhodnutí začíná běžet od právní moci usnesení podle věty první.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o předmětu územního řízení a o veřejném ústním jednání.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posuzovaných ve zjišťovacím řízení, nebo pro které bylo vydáno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Žádost o územní souhlas obsahuje kromě obecných náležitostí údaje o požadovaném záměru a identifikační údaje dotčených pozemků a staveb.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smlouvu nebo doklad o právu provést stavbu nebo opatření k pozemkům nebo stavbám, na kterých má být požadovaný záměr uskutečněn; tyto doklady se připojují, nelze-li tato práva ověřit v katastru nemovitostí dálkovým přístupem; anebo souhlas podle § 86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popřípadě rozhodnutí podle § 169 odst. 3 a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které mají vlastnická nebo jiná věcná práva k pozemkům nebo stavbám na nich a tyto pozemky mají společnou hranici s pozemkem, na kterém má být záměr uskutečněn;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žádost o územní souhlas úplná a je-li záměr v souladu s požadavky uvedenými v § 90, vydá stavební úřad územní souhlas do 30 dnů ode dne podání žádosti. Žádost o územní souhlas se neprojednává v územním řízení podle § 87. O námitkách osob podle odstavce 3 písm. d) se nerozhoduje. Na vydávání územního souhlasu se nevztahují části druhá a třetí správního řádu. Územní souhlas obsahuje identifikační údaje o žadateli, popis záměru, identifikační údaje o pozemku nebo stavbě, na nichž bude záměr uskutečněn, podmínky pro provedení záměru a pro zpracování projektové dokumentace. Ustanovení § 92 odst. 1 se použije přiměřeně. Územní souhlas nabývá právních účinků dnem doručení žadateli.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Územní souhlas se doručuje žadateli spolu s ověřeným situačním výkresem; s vyznačením účinnosti se doručuje osobám uvedeným v odstavci 3 písm. d), dotčeným orgánům a místně příslušnému obecnímu úřadu, pokud není stavebním úřadem, a jde-li o stavbu podle § 15 nebo 16, také stavebnímu úřadu příslušnému k povolení stavby.</w:t>
      </w:r>
    </w:p>
    <w:p>
      <w:pPr>
        <w:ind w:left="0" w:right="0"/>
      </w:pPr>
      <w:r>
        <w:rPr>
          <w:b/>
          <w:bCs/>
        </w:rPr>
        <w:t xml:space="preserve">(5)</w:t>
      </w:r>
      <w:r>
        <w:rPr/>
        <w:t xml:space="preserve"> Dojde-li stavební úřad k závěru, že žádost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žadateli a nelze se proti němu odvolat. Žádost o územní souhlas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Lhůta pro vydání územního rozhodnutí začíná běžet od právní moci usnesení podle věty první.</w:t>
      </w:r>
    </w:p>
    <w:p>
      <w:pPr>
        <w:ind w:left="0" w:right="0"/>
      </w:pPr>
      <w:r>
        <w:rPr>
          <w:b/>
          <w:bCs/>
        </w:rPr>
        <w:t xml:space="preserve">(6)</w:t>
      </w:r>
      <w:r>
        <w:rPr/>
        <w:t xml:space="preserve"> Dojde-li ke zrušení územního souhlasu po povolení stavby, územní souhlas ani územní rozhodnutí se již nevydává.</w:t>
      </w:r>
    </w:p>
    <w:p>
      <w:pPr>
        <w:ind w:left="0" w:right="0"/>
      </w:pPr>
      <w:r>
        <w:rPr>
          <w:b/>
          <w:bCs/>
        </w:rPr>
        <w:t xml:space="preserve">(7)</w:t>
      </w:r>
      <w:r>
        <w:rPr/>
        <w:t xml:space="preserve"> Územní souhlas platí 2 roky ode dne jeho vydání. Dobu platnosti územního souhlasu nelze prodloužit.</w:t>
      </w:r>
    </w:p>
    <w:p>
      <w:pPr>
        <w:ind w:left="0" w:right="0"/>
      </w:pPr>
      <w:r>
        <w:rPr>
          <w:b/>
          <w:bCs/>
        </w:rPr>
        <w:t xml:space="preserve">(8)</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(9)</w:t>
      </w:r>
      <w:r>
        <w:rPr/>
        <w:t xml:space="preserve"> Územní souhlas pozbývá platnosti dnem, kdy stavební úřad obdržel sdělení žadatele, že upustil od záměru, ke kterému se územní souhlas vztahuje; to neplatí, byla-li realizace záměru již zahájena. Územní souhlas lze změnit na žádost oprávněného územním souhlasem nebo územním rozhodnutím za podmínek § 94 odst. 1 a změnit nebo zrušit za podmínek § 94 odst. 3.</w:t>
      </w:r>
    </w:p>
    <w:p>
      <w:pPr>
        <w:ind w:left="0" w:right="0"/>
      </w:pPr>
      <w:r>
        <w:rPr>
          <w:b/>
          <w:bCs/>
        </w:rPr>
        <w:t xml:space="preserve">(10)</w:t>
      </w:r>
      <w:r>
        <w:rPr/>
        <w:t xml:space="preserve"> Obsahové náležitosti žádosti o územní souhlas a jejích příloh a obsahové náležitosti územního souhlasu a jeho příloh stanoví prováděcí právní předpis.</w:t>
      </w:r>
    </w:p>
    <w:p>
      <w:pPr>
        <w:pStyle w:val="Heading4"/>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Podá-li stavebník současně žádost o územní souhlas podle § 96 odst. 3 a ohlášení stavebního záměru podle § 105, které splňují požadavky § 96 a 105, vydá stavební úřad společný územní souhlas a souhlas s provedením ohlášeného stavebního záměru (dále jen „společný souhlas“).</w:t>
      </w:r>
    </w:p>
    <w:p>
      <w:pPr>
        <w:ind w:left="0" w:right="0"/>
      </w:pPr>
      <w:r>
        <w:rPr>
          <w:b/>
          <w:bCs/>
        </w:rPr>
        <w:t xml:space="preserve">(2)</w:t>
      </w:r>
      <w:r>
        <w:rPr/>
        <w:t xml:space="preserve"> Stavební úřad při posuzování žádosti o územní souhlas a ohlášení stavebního záměru postupuje podle § 96 odst. 4 s přihlédnutím k § 106.</w:t>
      </w:r>
    </w:p>
    <w:p>
      <w:pPr>
        <w:ind w:left="0" w:right="0"/>
      </w:pPr>
      <w:r>
        <w:rPr>
          <w:b/>
          <w:bCs/>
        </w:rPr>
        <w:t xml:space="preserve">(3)</w:t>
      </w:r>
      <w:r>
        <w:rPr/>
        <w:t xml:space="preserve"> Stavebník může ohlášený stavební záměr podle § 104 odst. 1 a 2 provést na základě společného souhlasu. Společný souhlas se doručuje stavebníkovi. Současně se společný souhlas doručí dotčeným orgánům, osobám uvedeným v § 96 odst. 3 písm. d) a v § 105 odst. 1 písm. f) a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w:t>
      </w:r>
    </w:p>
    <w:p>
      <w:pPr>
        <w:ind w:left="0" w:right="0"/>
      </w:pPr>
      <w:r>
        <w:rPr>
          <w:b/>
          <w:bCs/>
        </w:rPr>
        <w:t xml:space="preserve">(4)</w:t>
      </w:r>
      <w:r>
        <w:rPr/>
        <w:t xml:space="preserve"> Dojde-li stavební úřad k závěru, že žádost o územní souhlas nebo ohlášení stavebního záměru nesplňuje podmínky pro vydání územního souhlasu nebo souhlasu s provedením ohlášeného stavebního záměru, nebo mohou být přímo dotčena práva dalších osob kromě osob uvedených v § 96 odst. 3 písm. d), postupuje podle § 96 odst. 5. Podané ohlášení stavebního záměru nemá v tomto případě právní účinky, což stavební úřad stavebníkovi sdělí.</w:t>
      </w:r>
    </w:p>
    <w:p>
      <w:pPr>
        <w:ind w:left="0" w:right="0"/>
      </w:pPr>
      <w:r>
        <w:rPr>
          <w:b/>
          <w:bCs/>
        </w:rPr>
        <w:t xml:space="preserve">(5)</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0"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300 m</w:t>
      </w:r>
      <w:r>
        <w:rPr>
          <w:vertAlign w:val="superscript"/>
        </w:rPr>
        <w:t xml:space="preserve">2</w:t>
      </w:r>
      <w:r>
        <w:rPr/>
        <w:t xml:space="preserve"> zastavěné plochy a 7 m výšky, nepodsklepené, s výjimkou staveb pro ustájení zvířat či chovatelství, a zemědělských staveb,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podzemní a nadzemní vedení přenosové nebo distribuční soustavy elektřiny</w:t>
      </w:r>
      <w:r>
        <w:rPr>
          <w:vertAlign w:val="superscript"/>
        </w:rPr>
        <w:t xml:space="preserve">61</w:t>
      </w:r>
      <w:r>
        <w:rPr/>
        <w:t xml:space="preserve">) včetně podpěrných bodů a systémů měřicí, ochranné,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vedení přepravní nebo distribuční soustavy plynu</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rozvody tepelné energie</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vyžadující ohlášení</w:t>
      </w:r>
    </w:p>
    <w:p>
      <w:pPr>
        <w:ind w:left="0" w:right="0"/>
      </w:pPr>
      <w:r>
        <w:rPr>
          <w:b/>
          <w:bCs/>
        </w:rPr>
        <w:t xml:space="preserve">(1)</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do 150 m</w:t>
      </w:r>
      <w:r>
        <w:rPr>
          <w:vertAlign w:val="superscript"/>
        </w:rPr>
        <w:t xml:space="preserve">2</w:t>
      </w:r>
      <w:r>
        <w:rPr/>
        <w:t xml:space="preserve"> celkové zastavěné plochy,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50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vyžadují změny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bylo vydáno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prokazující vlastnické právo nebo právo založené smlouvou provést stavební záměr anebo právo odpovídající věcnému břemenu k pozemku či stavbě,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souhlasná závazná stanoviska, popřípadě souhlasná rozhodnutí dotčených orgánů, jsou-li vyžadována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mají vlastnická práva nebo práva odpovídající věcnému břemenu k pozemkům, které mají společnou hranici s pozemkem, na kterém má být stavební záměr uskutečněn; souhlas s navrhovaným stavebním záměrem musí být vyznačen na situačním výkresu.</w:t>
      </w:r>
    </w:p>
    <w:p>
      <w:pPr>
        <w:ind w:left="0" w:right="0"/>
      </w:pPr>
      <w:r>
        <w:rPr>
          <w:b/>
          <w:bCs/>
        </w:rPr>
        <w:t xml:space="preserve">(2)</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situaci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zásady organizace výstavby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dokumentaci objektů.</w:t>
      </w:r>
    </w:p>
    <w:p>
      <w:pPr>
        <w:ind w:left="0" w:right="0"/>
      </w:pPr>
      <w:r>
        <w:rPr>
          <w:b/>
          <w:bCs/>
        </w:rPr>
        <w:t xml:space="preserve">(3)</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(4)</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(5)</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(6)</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(7)</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(8)</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nebo není přímo dotčeno vlastnické právo nebo právo vyplývající z věcného břemene dalších osob, ledaže by s tím tyto osoby vyslovily souhlas,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nabývá právních účinků dnem doručení stavebníkovi. Souhlas se dále doručí osobám uvedeným v § 105 odst. 1 písm. f),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w:t>
      </w:r>
    </w:p>
    <w:p>
      <w:pPr>
        <w:ind w:left="0" w:right="0"/>
      </w:pPr>
      <w:r>
        <w:rPr>
          <w:b/>
          <w:bCs/>
        </w:rPr>
        <w:t xml:space="preserve">(2)</w:t>
      </w:r>
      <w:r>
        <w:rPr/>
        <w:t xml:space="preserve"> Stavební řízení je zahájeno dnem podání ohlášení; podané ohlášení se považuje za žádost o stavební povolení. Pokud je to pro posouzení stavebního záměru nezbytné, vyzve stavební úřad stavebníka k doplnění žádosti, maximálně však v rozsahu jako k žádosti o stavební povolení. Lhůta pro vydání rozhodnutí začíná běžet od právní moci usnesení podle odstavce 1.</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posoudí jako ohlášení a postupuje podle § 105 až 107, což stavebníkovi sdělí.</w:t>
      </w:r>
    </w:p>
    <w:p>
      <w:pPr>
        <w:pStyle w:val="Heading4"/>
      </w:pPr>
      <w:r>
        <w:rPr>
          <w:b/>
          <w:bCs/>
        </w:rPr>
        <w:t xml:space="preserve">§ 109</w:t>
      </w:r>
    </w:p>
    <w:p>
      <w:pPr>
        <w:ind w:left="0" w:right="0"/>
      </w:pPr>
      <w:r>
        <w:rPr/>
        <w:t xml:space="preserve">Účastníkem stavebního řízení je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osoba, o které tak stanoví zvláštní právní předpis, pokud mohou být stavebním povolením dotčeny veřejné zájmy chráněné podle zvláštních právních předpisů a o těchto věcech nebylo rozhodnuto v územním rozhodnutí.</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nelze tato práva ověřit v katastru nemovitostí dálkovým přístupem, a je-li stavebníkem společenství vlastníků jednotek, také smlouvu o výstavbě nebo rozhodnutí shromáždění vlastníků jednotek přijaté podle zvláštního právního předpisu (dále jen „doklad o 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 která obsahuje průvodní zprávu, souhrnnou technickou zprávu, situaci stavby, dokladovou část, zásady organizace výstavby a dokumentaci objektů,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 a případně plán provedení kontroly spolehlivosti konstrukcí stavby z hlediska jejich budoucího využití zpracovaný nezávislým expertem na náklady stavebníka,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rozhodnutí dotčených orgánů nebo jiné doklady vyžadované zvláštními právními předpisy</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stanoviska vlastníků veřejné dopravní a technické infrastruktury k možnosti a způsobu napojení nebo k podmínkám dotčených ochranných a bezpečnostních pásem.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 usnesení o zastavení řízení se doručuje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nebylo-li ve věci vydáno územní rozhodnutí nebo územní opatření, popřípadě nebyl-li vydán územní souhlas, územním rozhodnutím nebo veřejnoprávní smlouvou územní rozhodnutí nahrazující anebo územním souhlasem, popřípadě s regulačním plánem v rozsahu, ve kterém nahrazuje územní rozhodnutí,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doručuje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do 60 dnů ode dne zahájení stavebního řízení; ve zvlášť složitých případech stavební úřad rozhodne nejdéle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 109 písm. g),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Oznámení stavebního záměru s certifikátem autorizovaného inspektora</w:t>
      </w:r>
    </w:p>
    <w:p>
      <w:pPr>
        <w:pStyle w:val="Heading4"/>
      </w:pPr>
      <w:r>
        <w:rPr>
          <w:b/>
          <w:bCs/>
        </w:rPr>
        <w:t xml:space="preserve">§ 117</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bylo vydáno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 109 písm. g).</w:t>
      </w:r>
    </w:p>
    <w:p>
      <w:pPr>
        <w:ind w:left="0" w:right="0"/>
      </w:pPr>
      <w:r>
        <w:rPr>
          <w:b/>
          <w:bCs/>
        </w:rPr>
        <w:t xml:space="preserve">(4)</w:t>
      </w:r>
      <w:r>
        <w:rPr/>
        <w:t xml:space="preserve"> Stavební úřad vyvěsí bez zbytečného odkladu na úřední desce oznámení stavebního záměru po dobu nejméně 30 dnů a osobám, které by jinak byly účastníky stavebního řízení, umožní nahlížet do podkladů připojených k oznámení stavebního záměru včetně certifikátu. Ve lhůtě 30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w:t>
      </w:r>
    </w:p>
    <w:p>
      <w:pPr>
        <w:ind w:left="0" w:right="0"/>
      </w:pPr>
      <w:r>
        <w:rPr/>
        <w:t xml:space="preserve">Rozhodnutí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stavebního záměru podle § 106, stavební povolení podle § 115, veřejnoprávní smlouva podle § 116, oznámený vznik oprávnění podle § 117, opakované stavební povolení a dodatečné povolení stavby podle § 129, územní rozhodnutí, ve kterém stavební úřad podle § 78 odst. 6 stanovil, že k provedení stavby nebude vyžadovat ohlášení nebo územní rozhodnutí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spojeném řízení, ustanovení § 94 a 94a se použijí přiměřeně.</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bylo vydáno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popřípadě část stavby schopnou samostatného užívání, pokud vyžadovala stavební povolení nebo ohlášení stavebnímu úřadu podle § 104 odst. 1 písm. a) až d) a k), nebo stavby ohlašované podle zvláštního právního předpisu</w:t>
      </w:r>
      <w:r>
        <w:rPr>
          <w:vertAlign w:val="superscript"/>
        </w:rPr>
        <w:t xml:space="preserve">65</w:t>
      </w:r>
      <w:r>
        <w:rPr/>
        <w:t xml:space="preserve">) anebo byla prováděna na podkladě veřejnoprávní smlouvy podle § 116 nebo certifikátu autorizovaného inspektora podle § 117, byla dokončována podle opakovaného stavebního povolení nebo dodatečného povolení stavby podle § 129 lze užívat na základě oznámení stavebnímu úřadu (§ 120) nebo kolaudačního souhlasu.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Stavební úřad při uvádění stavby do užívání zkoumá, zda stavba byla provedena v souladu s rozhodnutím o umístění nebo jiným úkonem nahrazujícím územní rozhodnutí a povolením stavby a dokumentací, nebo ověřenou projektovou dokumentací, v souladu se stanovisky nebo závaznými stanovisky, popřípadě rozhodnutími dotčených orgánů, byla-li vydána podle zvláštních právních předpisů, a zda jsou dodrženy obecné požadavky na výstavbu. Dále zkoumá, zda skutečné provedení stavby nebo její užívání nebude ohrožovat život a veřejné zdraví, život nebo zdraví zvířat, bezpečnost anebo životní prostředí.</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 122. V oznámení stavebník uvede označení stavby, údaje o umístění a povolení stavby, předpokládaný termín dokončení stavby a zahájení jejího užívání. S užíváním stavby pro účel, k němuž byla stavba povolena, může být započato následující den po kontrolní prohlídce stavby, při které stavební úřad do protokolu zaznamená ověření splnění podmínek podle § 119 odst. 2, nebo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podle § 119 odst. 2.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Na požádání stavebníka stavební úřad vyznačí datum vzniku práva užívat stavbu na kopii oznámení. Dále uvede označení stavebního úřadu, číslo jednací, datum vyznačení, otisk úředního razítka, jméno a příjmení oprávněné úřední osoby a její podpis.</w:t>
      </w:r>
    </w:p>
    <w:p>
      <w:pPr>
        <w:ind w:left="0" w:right="0"/>
      </w:pPr>
      <w:r>
        <w:rPr>
          <w:b/>
          <w:bCs/>
        </w:rPr>
        <w:t xml:space="preserve">(6)</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60 dnů ode dne doručení žádosti o vydání kolaudačního souhlasu.</w:t>
      </w:r>
    </w:p>
    <w:p>
      <w:pPr>
        <w:ind w:left="0" w:right="0"/>
      </w:pPr>
      <w:r>
        <w:rPr>
          <w:b/>
          <w:bCs/>
        </w:rPr>
        <w:t xml:space="preserve">(3)</w:t>
      </w:r>
      <w:r>
        <w:rPr/>
        <w:t xml:space="preserve"> Při závěrečné kontrolní prohlídce stavební úřad zkoumá splnění podmínek podle § 119 odst. 2. Jestliže stavební úřad nezjistí závady bránící bezpečnému užívání stavby nebo rozpor s podmínkami § 119 odst. 2, vydá do 15 dnů ode dne provedení závěrečné kontrolní prohlídky kolaudační souhlas, který je dokladem o povoleném účelu užívání stavby.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Jsou-li na stavbě zjištěny závady bránící jejímu bezpečnému užívání nebo rozpor s podmínkami § 119 odst. 2,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obsah a strukturu certifikátu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 oznámením o užívání stavby podle § 120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120 nebo 122; v oznámení užívání nebo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w:t>
      </w:r>
    </w:p>
    <w:p>
      <w:pPr>
        <w:ind w:left="0" w:right="0"/>
      </w:pPr>
      <w:r>
        <w:rPr>
          <w:b/>
          <w:bCs/>
        </w:rPr>
        <w:t xml:space="preserve">(2)</w:t>
      </w:r>
      <w:r>
        <w:rPr/>
        <w:t xml:space="preserve"> Je-li oznámení úplné a oznámená změna v účelu užívání splňuje podmínky podle § 126 odst. 3, nedotýká se práv třetích osob,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Lhůta pro vydání rozhodnutí začíná běžet od právní moci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dnem podání ohlášení. Lhůta pro vydání rozhodnutí začíná běžet od právní moci usnesení podle věty první.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nebo opatření nebo jiného úkonu vyžadovaného stavebním zákonem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v přezkumném řízení nebo rozhodnutím soudu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 staveb uvedených v písmenech a) až d) před jejím dokončením podle § 118,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staveb uvedených v písmenech a) až e)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vodního díla k ohlášení podle § 15a odst. 2 písm. c)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1"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 odst. 1,</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uvedené v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158 provádí vybrané činnosti ve výstavbě bez oprávnění podle zvláštního právního předpisu</w:t>
      </w:r>
      <w:r>
        <w:rPr>
          <w:vertAlign w:val="superscript"/>
        </w:rPr>
        <w:t xml:space="preserve">14</w:t>
      </w:r>
      <w:r>
        <w:rPr/>
        <w:t xml:space="preserve">),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j) nebo n)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h), i), k), l), m), o), p), q), s), t), u) nebo w)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r), v), x), y) nebo z) nebo odstavce 2 písm. a), b), i), j), k), l), n) nebo o).</w:t>
      </w:r>
    </w:p>
    <w:p>
      <w:pPr>
        <w:pStyle w:val="Heading4"/>
      </w:pPr>
      <w:r>
        <w:rPr>
          <w:b/>
          <w:bCs/>
        </w:rPr>
        <w:t xml:space="preserve">§ 179</w:t>
      </w:r>
    </w:p>
    <w:p>
      <w:pPr>
        <w:ind w:left="0" w:right="0"/>
      </w:pPr>
      <w:r>
        <w:rPr>
          <w:b/>
          <w:bCs/>
        </w:rPr>
        <w:t xml:space="preserve">(1)</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(2)</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(4)</w:t>
      </w:r>
      <w:r>
        <w:rPr/>
        <w:t xml:space="preserve">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(5)</w:t>
      </w:r>
      <w:r>
        <w:rPr/>
        <w:t xml:space="preserve">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(6)</w:t>
      </w:r>
      <w:r>
        <w:rPr/>
        <w:t xml:space="preserve"> Fyzická osoba se jako autorizovaný inspektor dopustí přestupku tím, že v rozporu s § 155 poruší oznamovací povinnost nebo nesplní povinnost podle § 117 odst. 1.</w:t>
      </w:r>
    </w:p>
    <w:p>
      <w:pPr>
        <w:ind w:left="0" w:right="0"/>
      </w:pPr>
      <w:r>
        <w:rPr>
          <w:b/>
          <w:bCs/>
        </w:rPr>
        <w:t xml:space="preserve">(7)</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3 písm. b), f), g), h) nebo i) nebo podle odstavce 4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b) nebo c) nebo podle odstavce 2 písm. a), b) nebo c) nebo podle odstavce 3 písm. a), c), d), e), j) nebo k) nebo podle odstavce 4 písm. b), c), f) nebo g) nebo podle odstavce 5 nebo 6.</w:t>
      </w:r>
    </w:p>
    <w:p>
      <w:pPr>
        <w:ind w:left="0" w:right="0"/>
      </w:pPr>
      <w:r>
        <w:rPr>
          <w:b/>
          <w:bCs/>
        </w:rPr>
        <w:t xml:space="preserve">(8)</w:t>
      </w:r>
      <w:r>
        <w:rPr/>
        <w:t xml:space="preserve"> Za přestupek lze v blokovém řízení uložit pokutu do 5 000 Kč, v příkazním řízení do 10 000 Kč.</w:t>
      </w:r>
    </w:p>
    <w:p>
      <w:pPr>
        <w:pStyle w:val="Heading4"/>
      </w:pPr>
      <w:r>
        <w:rPr>
          <w:b/>
          <w:bCs/>
        </w:rPr>
        <w:t xml:space="preserve">Správní delikty právnických osob a podnikajících fyzických osob</w:t>
      </w:r>
    </w:p>
    <w:p>
      <w:pPr>
        <w:pStyle w:val="Heading3"/>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podle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správní delikt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správní delikt podle odstavce 1 písm. f), j) nebo n) nebo podle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správní delikt podle odstavce 1 písm. a), d), g), h), i), k), l), m), o), p), q), s), t), u) nebo w) nebo podle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delikt podle odstavce 1 písm. b), c), e), r), v), x) nebo y) nebo podle odstavce 2 písm. a), b), i), j), k), l), n) nebo o).</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Právnická osoba se jako vlastník stavby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(3)</w:t>
      </w:r>
      <w:r>
        <w:rPr/>
        <w:t xml:space="preserve"> Právnická osoba se jako vlastník zařízení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(4)</w:t>
      </w:r>
      <w:r>
        <w:rPr/>
        <w:t xml:space="preserve"> Právnická nebo podnikající fyzická osoba se jako vlastník technické infrastruktury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(5)</w:t>
      </w:r>
      <w:r>
        <w:rPr/>
        <w:t xml:space="preserve"> Právnická nebo podnikající fyzická osoba se jako autorizovaný inspektor dopustí správního deliktu tím, že poruší některou z povinností podle § 155 nebo nesplní povinnost podle § 117 odst. 1.</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správní delikt podle odstavce 1 písm. b), c), d) nebo f) nebo odstavce 2 písm. b), f), g), h) nebo i) nebo odstavce 3 písm. a), d) nebo e) nebo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správní delikt podle odstavce 1 písm. a) nebo e) nebo odstavce 2 písm. a), c), d), e), j) nebo k) nebo odstavce 3 písm. b), c), f) nebo g) nebo odstavce 5.</w:t>
      </w:r>
    </w:p>
    <w:p>
      <w:pPr>
        <w:pStyle w:val="Heading3"/>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 13, 15 a 16; správní delikt podle § 181 odst. 4 písm. b) v prvním stupni projednává stavební úřad příslušný podle § 13 odst. 1 písm. c) zákona.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3"/>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zrušen zákonem č. </w:t>
      </w:r>
      <w:hyperlink r:id="rId12" w:history="1">
        <w:r>
          <w:rPr>
            <w:color w:val="darkblue"/>
            <w:u w:val="single"/>
          </w:rPr>
          <w:t xml:space="preserve">281/2009 Sb.</w:t>
        </w:r>
      </w:hyperlink>
      <w:r>
        <w:rPr/>
        <w:t xml:space="preserve"> (účinnost: 1. ledna 2011)</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2020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14 odst. 2, § 21 odst. 4, § 26 odst. 2, § 29 odst. 1 a 3, § 36 odst. 6, § 40 odst. 4, § 42 odst. 8, § 43 odst. 6, § 47 odst. 6, § 50 odst. 1, § 55 odst. 6, § 61 odst. 3, § 64 odst. 6, § 66 odst. 5, § 78a odst. 10, § 86 odst. 7, § 87 odst. 5, § 92 odst. 5, § 94a odst. 7, § 95 odst. 7, § 96 odst. 10, § 99 odst. 2, § 100 odst. 3, § 105 odst. 8, § 110 odst. 5, § 115 odst. 6, § 116 odst. 8, § 117 odst. 8, § 120 odst. 6, § 122 odst. 6, § 123 odst. 5, § 125 odst. 6, § 127 odst. 6, § 128 odst. 8, § 134 odst. 6, § 138 odst. 5, § 143 odst. 5, § 150 odst. 3,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přírodní radionuklidy a pro stavby náležející k provozním celkům, jejichž součástí je jaderné zařízení</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77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29" w:history="1">
        <w:r>
          <w:rPr>
            <w:color w:val="darkblue"/>
            <w:u w:val="single"/>
          </w:rPr>
          <w:t xml:space="preserve">§ 136</w:t>
        </w:r>
      </w:hyperlink>
      <w:r>
        <w:rPr>
          <w:sz w:val="19.200000000000003"/>
          <w:szCs w:val="19.200000000000003"/>
        </w:rPr>
        <w:t xml:space="preserve"> zákona č. </w:t>
      </w:r>
      <w:hyperlink r:id="rId30"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2"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3"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4"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7"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0"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1"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3" w:history="1">
        <w:r>
          <w:rPr>
            <w:color w:val="darkblue"/>
            <w:u w:val="single"/>
          </w:rPr>
          <w:t xml:space="preserve">§ 149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4" w:history="1">
        <w:r>
          <w:rPr>
            <w:color w:val="darkblue"/>
            <w:u w:val="single"/>
          </w:rPr>
          <w:t xml:space="preserve">§ 140</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6"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7"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8"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9"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1"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2"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2"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3" w:history="1">
        <w:r>
          <w:rPr>
            <w:color w:val="darkblue"/>
            <w:u w:val="single"/>
          </w:rPr>
          <w:t xml:space="preserve">§ 139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4"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6"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7" w:history="1">
        <w:r>
          <w:rPr>
            <w:color w:val="darkblue"/>
            <w:u w:val="single"/>
          </w:rPr>
          <w:t xml:space="preserve">§ 76</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58"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0" w:history="1">
        <w:r>
          <w:rPr>
            <w:color w:val="darkblue"/>
            <w:u w:val="single"/>
          </w:rPr>
          <w:t xml:space="preserve">§ 172</w:t>
        </w:r>
      </w:hyperlink>
      <w:r>
        <w:rPr>
          <w:sz w:val="19.200000000000003"/>
          <w:szCs w:val="19.200000000000003"/>
        </w:rPr>
        <w:t xml:space="preserve"> odst. 3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5" w:history="1">
        <w:r>
          <w:rPr>
            <w:color w:val="darkblue"/>
            <w:u w:val="single"/>
          </w:rPr>
          <w:t xml:space="preserve">§ 159</w:t>
        </w:r>
      </w:hyperlink>
      <w:r>
        <w:rPr>
          <w:sz w:val="19.200000000000003"/>
          <w:szCs w:val="19.200000000000003"/>
        </w:rPr>
        <w:t xml:space="preserve"> až 170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6" w:history="1">
        <w:r>
          <w:rPr>
            <w:color w:val="darkblue"/>
            <w:u w:val="single"/>
          </w:rPr>
          <w:t xml:space="preserve">§ 2</w:t>
        </w:r>
      </w:hyperlink>
      <w:r>
        <w:rPr>
          <w:sz w:val="19.200000000000003"/>
          <w:szCs w:val="19.200000000000003"/>
        </w:rPr>
        <w:t xml:space="preserve">, 3 a 11 zákona č. </w:t>
      </w:r>
      <w:hyperlink r:id="rId67"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8"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69" w:history="1">
        <w:r>
          <w:rPr>
            <w:color w:val="darkblue"/>
            <w:u w:val="single"/>
          </w:rPr>
          <w:t xml:space="preserve">266/1994 Sb.</w:t>
        </w:r>
      </w:hyperlink>
      <w:r>
        <w:rPr>
          <w:sz w:val="19.200000000000003"/>
          <w:szCs w:val="19.200000000000003"/>
        </w:rPr>
        <w:t xml:space="preserve">, o dráhách,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0"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1" w:history="1">
        <w:r>
          <w:rPr>
            <w:color w:val="darkblue"/>
            <w:u w:val="single"/>
          </w:rPr>
          <w:t xml:space="preserve">§ 70</w:t>
        </w:r>
      </w:hyperlink>
      <w:r>
        <w:rPr>
          <w:sz w:val="19.200000000000003"/>
          <w:szCs w:val="19.200000000000003"/>
        </w:rPr>
        <w:t xml:space="preserve"> zákona č. </w:t>
      </w:r>
      <w:hyperlink r:id="rId32" w:history="1">
        <w:r>
          <w:rPr>
            <w:color w:val="darkblue"/>
            <w:u w:val="single"/>
          </w:rPr>
          <w:t xml:space="preserve">114/1992 Sb.</w:t>
        </w:r>
      </w:hyperlink>
      <w:r>
        <w:rPr>
          <w:sz w:val="19.200000000000003"/>
          <w:szCs w:val="19.200000000000003"/>
        </w:rPr>
        <w:t xml:space="preserve">, o ochraně přírody a krajiny, ve znění zákona č. </w:t>
      </w:r>
      <w:hyperlink r:id="rId72" w:history="1">
        <w:r>
          <w:rPr>
            <w:color w:val="darkblue"/>
            <w:u w:val="single"/>
          </w:rPr>
          <w:t xml:space="preserve">218/2004 Sb.</w:t>
        </w:r>
      </w:hyperlink>
      <w:r>
        <w:rPr>
          <w:sz w:val="19.200000000000003"/>
          <w:szCs w:val="19.200000000000003"/>
        </w:rPr>
        <w:t xml:space="preserve">, </w:t>
      </w:r>
      <w:hyperlink r:id="rId73" w:history="1">
        <w:r>
          <w:rPr>
            <w:color w:val="darkblue"/>
            <w:u w:val="single"/>
          </w:rPr>
          <w:t xml:space="preserve">§ 23</w:t>
        </w:r>
      </w:hyperlink>
      <w:r>
        <w:rPr>
          <w:sz w:val="19.200000000000003"/>
          <w:szCs w:val="19.200000000000003"/>
        </w:rPr>
        <w:t xml:space="preserve"> zákona č. </w:t>
      </w:r>
      <w:hyperlink r:id="rId51" w:history="1">
        <w:r>
          <w:rPr>
            <w:color w:val="darkblue"/>
            <w:u w:val="single"/>
          </w:rPr>
          <w:t xml:space="preserve">100/2001 Sb.</w:t>
        </w:r>
      </w:hyperlink>
      <w:r>
        <w:rPr>
          <w:sz w:val="19.200000000000003"/>
          <w:szCs w:val="19.200000000000003"/>
        </w:rPr>
        <w:t xml:space="preserve">, ve znění zákona č. </w:t>
      </w:r>
      <w:hyperlink r:id="rId52"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4"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5"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6"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7"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78" w:history="1">
        <w:r>
          <w:rPr>
            <w:color w:val="darkblue"/>
            <w:u w:val="single"/>
          </w:rPr>
          <w:t xml:space="preserve">251/2003 Sb.</w:t>
        </w:r>
      </w:hyperlink>
      <w:r>
        <w:rPr>
          <w:sz w:val="19.200000000000003"/>
          <w:szCs w:val="19.200000000000003"/>
        </w:rPr>
        <w:t xml:space="preserve"> a nařízení vlády č. </w:t>
      </w:r>
      <w:hyperlink r:id="rId79"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0"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1" w:history="1">
        <w:r>
          <w:rPr>
            <w:color w:val="darkblue"/>
            <w:u w:val="single"/>
          </w:rPr>
          <w:t xml:space="preserve">§ 4</w:t>
        </w:r>
      </w:hyperlink>
      <w:r>
        <w:rPr>
          <w:sz w:val="19.200000000000003"/>
          <w:szCs w:val="19.200000000000003"/>
        </w:rPr>
        <w:t xml:space="preserve"> vyhlášky č. </w:t>
      </w:r>
      <w:hyperlink r:id="rId82" w:history="1">
        <w:r>
          <w:rPr>
            <w:color w:val="darkblue"/>
            <w:u w:val="single"/>
          </w:rPr>
          <w:t xml:space="preserve">111/1981 Sb.</w:t>
        </w:r>
      </w:hyperlink>
      <w:r>
        <w:rPr>
          <w:sz w:val="19.200000000000003"/>
          <w:szCs w:val="19.200000000000003"/>
        </w:rPr>
        <w:t xml:space="preserve">, o čištění komínů, </w:t>
      </w:r>
      <w:hyperlink r:id="rId83" w:history="1">
        <w:r>
          <w:rPr>
            <w:color w:val="darkblue"/>
            <w:u w:val="single"/>
          </w:rPr>
          <w:t xml:space="preserve">§ 15</w:t>
        </w:r>
      </w:hyperlink>
      <w:r>
        <w:rPr>
          <w:sz w:val="19.200000000000003"/>
          <w:szCs w:val="19.200000000000003"/>
        </w:rPr>
        <w:t xml:space="preserve"> a 19 vyhlášky č. </w:t>
      </w:r>
      <w:hyperlink r:id="rId84" w:history="1">
        <w:r>
          <w:rPr>
            <w:color w:val="darkblue"/>
            <w:u w:val="single"/>
          </w:rPr>
          <w:t xml:space="preserve">428/2001 Sb.</w:t>
        </w:r>
      </w:hyperlink>
      <w:r>
        <w:rPr>
          <w:sz w:val="19.200000000000003"/>
          <w:szCs w:val="19.200000000000003"/>
        </w:rPr>
        <w:t xml:space="preserve">, kterou se provádí zákon č. </w:t>
      </w:r>
      <w:hyperlink r:id="rId85"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6" w:history="1">
        <w:r>
          <w:rPr>
            <w:color w:val="darkblue"/>
            <w:u w:val="single"/>
          </w:rPr>
          <w:t xml:space="preserve">§ 4</w:t>
        </w:r>
      </w:hyperlink>
      <w:r>
        <w:rPr>
          <w:sz w:val="19.200000000000003"/>
          <w:szCs w:val="19.200000000000003"/>
        </w:rPr>
        <w:t xml:space="preserve"> vyhlášky č. </w:t>
      </w:r>
      <w:hyperlink r:id="rId87"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88"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89"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7" w:history="1">
        <w:r>
          <w:rPr>
            <w:color w:val="darkblue"/>
            <w:u w:val="single"/>
          </w:rPr>
          <w:t xml:space="preserve">128/2000 Sb.</w:t>
        </w:r>
      </w:hyperlink>
      <w:r>
        <w:rPr>
          <w:sz w:val="19.200000000000003"/>
          <w:szCs w:val="19.200000000000003"/>
        </w:rPr>
        <w:t xml:space="preserve">, ve znění zákona č. </w:t>
      </w:r>
      <w:hyperlink r:id="rId90" w:history="1">
        <w:r>
          <w:rPr>
            <w:color w:val="darkblue"/>
            <w:u w:val="single"/>
          </w:rPr>
          <w:t xml:space="preserve">227/2009 Sb.</w:t>
        </w:r>
      </w:hyperlink>
      <w:r>
        <w:rPr>
          <w:sz w:val="19.200000000000003"/>
          <w:szCs w:val="19.200000000000003"/>
        </w:rPr>
        <w:t xml:space="preserve"> § 14 odst. 1 až 3 zákona č. </w:t>
      </w:r>
      <w:hyperlink r:id="rId45" w:history="1">
        <w:r>
          <w:rPr>
            <w:color w:val="darkblue"/>
            <w:u w:val="single"/>
          </w:rPr>
          <w:t xml:space="preserve">131/2000 Sb.</w:t>
        </w:r>
      </w:hyperlink>
      <w:r>
        <w:rPr>
          <w:sz w:val="19.200000000000003"/>
          <w:szCs w:val="19.200000000000003"/>
        </w:rPr>
        <w:t xml:space="preserve">, ve znění zákona č. </w:t>
      </w:r>
      <w:hyperlink r:id="rId90"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1"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2"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3"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4" w:history="1">
        <w:r>
          <w:rPr>
            <w:color w:val="darkblue"/>
            <w:u w:val="single"/>
          </w:rPr>
          <w:t xml:space="preserve">§ 35</w:t>
        </w:r>
      </w:hyperlink>
      <w:r>
        <w:rPr>
          <w:sz w:val="19.200000000000003"/>
          <w:szCs w:val="19.200000000000003"/>
        </w:rPr>
        <w:t xml:space="preserve"> odst. 1 zákona č. </w:t>
      </w:r>
      <w:hyperlink r:id="rId38" w:history="1">
        <w:r>
          <w:rPr>
            <w:color w:val="darkblue"/>
            <w:u w:val="single"/>
          </w:rPr>
          <w:t xml:space="preserve">13/1997 Sb.</w:t>
        </w:r>
      </w:hyperlink>
      <w:r>
        <w:rPr>
          <w:sz w:val="19.200000000000003"/>
          <w:szCs w:val="19.200000000000003"/>
        </w:rPr>
        <w:t xml:space="preserve">, o pozemních komunikacích, ve znění zákona č. </w:t>
      </w:r>
      <w:hyperlink r:id="rId95"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6"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7"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4"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98"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99" w:history="1">
        <w:r>
          <w:rPr>
            <w:color w:val="darkblue"/>
            <w:u w:val="single"/>
          </w:rPr>
          <w:t xml:space="preserve">§ 22</w:t>
        </w:r>
      </w:hyperlink>
      <w:r>
        <w:rPr>
          <w:sz w:val="19.200000000000003"/>
          <w:szCs w:val="19.200000000000003"/>
        </w:rPr>
        <w:t xml:space="preserve"> odst. 3 zákona č. </w:t>
      </w:r>
      <w:hyperlink r:id="rId54" w:history="1">
        <w:r>
          <w:rPr>
            <w:color w:val="darkblue"/>
            <w:u w:val="single"/>
          </w:rPr>
          <w:t xml:space="preserve">360/1992 Sb.</w:t>
        </w:r>
      </w:hyperlink>
      <w:r>
        <w:rPr>
          <w:sz w:val="19.200000000000003"/>
          <w:szCs w:val="19.200000000000003"/>
        </w:rPr>
        <w:t xml:space="preserve">, ve znění zákona č. </w:t>
      </w:r>
      <w:hyperlink r:id="rId98"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0"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4" w:history="1">
        <w:r>
          <w:rPr>
            <w:color w:val="darkblue"/>
            <w:u w:val="single"/>
          </w:rPr>
          <w:t xml:space="preserve">360/1992 Sb.</w:t>
        </w:r>
      </w:hyperlink>
      <w:r>
        <w:rPr>
          <w:sz w:val="19.200000000000003"/>
          <w:szCs w:val="19.200000000000003"/>
        </w:rPr>
        <w:t xml:space="preserve">, zákon č. </w:t>
      </w:r>
      <w:hyperlink r:id="rId10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2" w:history="1">
        <w:r>
          <w:rPr>
            <w:color w:val="darkblue"/>
            <w:u w:val="single"/>
          </w:rPr>
          <w:t xml:space="preserve">§ 68</w:t>
        </w:r>
      </w:hyperlink>
      <w:r>
        <w:rPr>
          <w:sz w:val="19.200000000000003"/>
          <w:szCs w:val="19.200000000000003"/>
        </w:rPr>
        <w:t xml:space="preserve"> zákona č. </w:t>
      </w:r>
      <w:hyperlink r:id="rId100"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3"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4" w:history="1">
        <w:r>
          <w:rPr>
            <w:color w:val="darkblue"/>
            <w:u w:val="single"/>
          </w:rPr>
          <w:t xml:space="preserve">§ 15</w:t>
        </w:r>
      </w:hyperlink>
      <w:r>
        <w:rPr>
          <w:sz w:val="19.200000000000003"/>
          <w:szCs w:val="19.200000000000003"/>
        </w:rPr>
        <w:t xml:space="preserve"> odst. 2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5" w:history="1">
        <w:r>
          <w:rPr>
            <w:color w:val="darkblue"/>
            <w:u w:val="single"/>
          </w:rPr>
          <w:t xml:space="preserve">§ 58</w:t>
        </w:r>
      </w:hyperlink>
      <w:r>
        <w:rPr>
          <w:sz w:val="19.200000000000003"/>
          <w:szCs w:val="19.200000000000003"/>
        </w:rPr>
        <w:t xml:space="preserve"> a </w:t>
      </w:r>
      <w:hyperlink r:id="rId106" w:history="1">
        <w:r>
          <w:rPr>
            <w:color w:val="darkblue"/>
            <w:u w:val="single"/>
          </w:rPr>
          <w:t xml:space="preserve">§ 62</w:t>
        </w:r>
      </w:hyperlink>
      <w:r>
        <w:rPr>
          <w:sz w:val="19.200000000000003"/>
          <w:szCs w:val="19.200000000000003"/>
        </w:rPr>
        <w:t xml:space="preserve"> odst. 3 až 6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2"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7"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1"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8"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0"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09" w:history="1">
        <w:r>
          <w:rPr>
            <w:color w:val="darkblue"/>
            <w:u w:val="single"/>
          </w:rPr>
          <w:t xml:space="preserve">§ 36</w:t>
        </w:r>
      </w:hyperlink>
      <w:r>
        <w:rPr>
          <w:sz w:val="19.200000000000003"/>
          <w:szCs w:val="19.200000000000003"/>
        </w:rPr>
        <w:t xml:space="preserve"> zákona č. </w:t>
      </w:r>
      <w:hyperlink r:id="rId110"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1"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2"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3"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4"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4" w:history="1">
        <w:r>
          <w:rPr>
            <w:color w:val="darkblue"/>
            <w:u w:val="single"/>
          </w:rPr>
          <w:t xml:space="preserve">219/2000 Sb.</w:t>
        </w:r>
      </w:hyperlink>
      <w:r>
        <w:rPr>
          <w:sz w:val="19.200000000000003"/>
          <w:szCs w:val="19.200000000000003"/>
        </w:rPr>
        <w:t xml:space="preserve"> § 10 zákona č. </w:t>
      </w:r>
      <w:hyperlink r:id="rId11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6"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7" w:history="1">
        <w:r>
          <w:rPr>
            <w:color w:val="darkblue"/>
            <w:u w:val="single"/>
          </w:rPr>
          <w:t xml:space="preserve">262/2006 Sb.</w:t>
        </w:r>
      </w:hyperlink>
      <w:r>
        <w:rPr>
          <w:sz w:val="19.200000000000003"/>
          <w:szCs w:val="19.200000000000003"/>
        </w:rPr>
        <w:t xml:space="preserve">, zákoník práce,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18" w:history="1">
        <w:r>
          <w:rPr>
            <w:color w:val="darkblue"/>
            <w:u w:val="single"/>
          </w:rPr>
          <w:t xml:space="preserve">§ 19</w:t>
        </w:r>
      </w:hyperlink>
      <w:r>
        <w:rPr>
          <w:sz w:val="24"/>
          <w:szCs w:val="24"/>
        </w:rPr>
        <w:t xml:space="preserve"> odst. 2 zákona č. </w:t>
      </w:r>
      <w:hyperlink r:id="rId119"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19"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19"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19"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19"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19"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19"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19"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1"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1"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sectPr>
      <w:headerReference w:type="default" r:id="rId120"/>
      <w:footerReference w:type="default" r:id="rId1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91/2016 Sb. z </w:t>
          </w:r>
          <w:r>
            <w:rPr>
              <w:rStyle w:val="bold"/>
            </w:rPr>
            <w:t xml:space="preserve">15. 4. 2016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04s500#C02_H09_P097" TargetMode="External"/><Relationship Id="rId9" Type="http://schemas.openxmlformats.org/officeDocument/2006/relationships/hyperlink" Target="https://esipa.cz/sbirka/sbsrv.dll/sb?DR=SB&amp;CP=2015s039" TargetMode="External"/><Relationship Id="rId10" Type="http://schemas.openxmlformats.org/officeDocument/2006/relationships/hyperlink" Target="https://esipa.cz/sbirka/sbsrv.dll/sb?DR=SB&amp;CP=2004s500#C06_P172" TargetMode="External"/><Relationship Id="rId11" Type="http://schemas.openxmlformats.org/officeDocument/2006/relationships/hyperlink" Target="https://esipa.cz/sbirka/sbsrv.dll/sb?DR=SB&amp;CP=2004s500#C02_H06_D006_P075"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C03_H02_P136" TargetMode="External"/><Relationship Id="rId30" Type="http://schemas.openxmlformats.org/officeDocument/2006/relationships/hyperlink" Target="https://esipa.cz/sbirka/sbsrv.dll/sb?DR=SB&amp;CP=2004s500" TargetMode="External"/><Relationship Id="rId31" Type="http://schemas.openxmlformats.org/officeDocument/2006/relationships/hyperlink" Target="https://esipa.cz/sbirka/sbsrv.dll/sb?DR=SB&amp;CP=2001s254" TargetMode="External"/><Relationship Id="rId32" Type="http://schemas.openxmlformats.org/officeDocument/2006/relationships/hyperlink" Target="https://esipa.cz/sbirka/sbsrv.dll/sb?DR=SB&amp;CP=1992s114" TargetMode="External"/><Relationship Id="rId33" Type="http://schemas.openxmlformats.org/officeDocument/2006/relationships/hyperlink" Target="https://esipa.cz/sbirka/sbsrv.dll/sb?DR=SB&amp;CP=2002s086" TargetMode="External"/><Relationship Id="rId34" Type="http://schemas.openxmlformats.org/officeDocument/2006/relationships/hyperlink" Target="https://esipa.cz/sbirka/sbsrv.dll/sb?DR=SB&amp;CP=1992s334" TargetMode="External"/><Relationship Id="rId35" Type="http://schemas.openxmlformats.org/officeDocument/2006/relationships/hyperlink" Target="https://esipa.cz/sbirka/sbsrv.dll/sb?DR=SB&amp;CP=1987s020" TargetMode="External"/><Relationship Id="rId36" Type="http://schemas.openxmlformats.org/officeDocument/2006/relationships/hyperlink" Target="https://esipa.cz/sbirka/sbsrv.dll/sb?DR=SB&amp;CP=1995s289" TargetMode="External"/><Relationship Id="rId37" Type="http://schemas.openxmlformats.org/officeDocument/2006/relationships/hyperlink" Target="https://esipa.cz/sbirka/sbsrv.dll/sb?DR=SB&amp;CP=1985s133" TargetMode="External"/><Relationship Id="rId38" Type="http://schemas.openxmlformats.org/officeDocument/2006/relationships/hyperlink" Target="https://esipa.cz/sbirka/sbsrv.dll/sb?DR=SB&amp;CP=1997s013" TargetMode="External"/><Relationship Id="rId39" Type="http://schemas.openxmlformats.org/officeDocument/2006/relationships/hyperlink" Target="https://esipa.cz/sbirka/sbsrv.dll/sb?DR=SB&amp;CP=1988s044" TargetMode="External"/><Relationship Id="rId40" Type="http://schemas.openxmlformats.org/officeDocument/2006/relationships/hyperlink" Target="https://esipa.cz/sbirka/sbsrv.dll/sb?DR=SB&amp;CP=2001s164" TargetMode="External"/><Relationship Id="rId41" Type="http://schemas.openxmlformats.org/officeDocument/2006/relationships/hyperlink" Target="https://esipa.cz/sbirka/sbsrv.dll/sb?DR=SB&amp;CP=1988s062" TargetMode="External"/><Relationship Id="rId42" Type="http://schemas.openxmlformats.org/officeDocument/2006/relationships/hyperlink" Target="https://esipa.cz/sbirka/sbsrv.dll/sb?DR=SB&amp;CP=2000s258" TargetMode="External"/><Relationship Id="rId43" Type="http://schemas.openxmlformats.org/officeDocument/2006/relationships/hyperlink" Target="https://esipa.cz/sbirka/sbsrv.dll/sb?DR=SB&amp;CP=2004s500#C03_H06_P149" TargetMode="External"/><Relationship Id="rId44" Type="http://schemas.openxmlformats.org/officeDocument/2006/relationships/hyperlink" Target="https://esipa.cz/sbirka/sbsrv.dll/sb?DR=SB&amp;CP=2004s500#C03_H04_P140" TargetMode="External"/><Relationship Id="rId45" Type="http://schemas.openxmlformats.org/officeDocument/2006/relationships/hyperlink" Target="https://esipa.cz/sbirka/sbsrv.dll/sb?DR=SB&amp;CP=2000s131" TargetMode="External"/><Relationship Id="rId46" Type="http://schemas.openxmlformats.org/officeDocument/2006/relationships/hyperlink" Target="https://esipa.cz/sbirka/sbsrv.dll/sb?DR=SB&amp;CP=2002s314" TargetMode="External"/><Relationship Id="rId47" Type="http://schemas.openxmlformats.org/officeDocument/2006/relationships/hyperlink" Target="https://esipa.cz/sbirka/sbsrv.dll/sb?DR=SB&amp;CP=2004s387" TargetMode="External"/><Relationship Id="rId48" Type="http://schemas.openxmlformats.org/officeDocument/2006/relationships/hyperlink" Target="https://esipa.cz/sbirka/sbsrv.dll/sb?DR=SB&amp;CP=2002s076" TargetMode="External"/><Relationship Id="rId49" Type="http://schemas.openxmlformats.org/officeDocument/2006/relationships/hyperlink" Target="https://esipa.cz/sbirka/sbsrv.dll/sb?DR=SB&amp;CP=1997s018" TargetMode="External"/><Relationship Id="rId50" Type="http://schemas.openxmlformats.org/officeDocument/2006/relationships/hyperlink" Target="https://esipa.cz/sbirka/sbsrv.dll/sb?DR=SB&amp;CP=2000s458" TargetMode="External"/><Relationship Id="rId51" Type="http://schemas.openxmlformats.org/officeDocument/2006/relationships/hyperlink" Target="https://esipa.cz/sbirka/sbsrv.dll/sb?DR=SB&amp;CP=2001s100" TargetMode="External"/><Relationship Id="rId52" Type="http://schemas.openxmlformats.org/officeDocument/2006/relationships/hyperlink" Target="https://esipa.cz/sbirka/sbsrv.dll/sb?DR=SB&amp;CP=2004s093" TargetMode="External"/><Relationship Id="rId53" Type="http://schemas.openxmlformats.org/officeDocument/2006/relationships/hyperlink" Target="https://esipa.cz/sbirka/sbsrv.dll/sb?DR=SB&amp;CP=2004s500#C03_H03_P139" TargetMode="External"/><Relationship Id="rId54" Type="http://schemas.openxmlformats.org/officeDocument/2006/relationships/hyperlink" Target="https://esipa.cz/sbirka/sbsrv.dll/sb?DR=SB&amp;CP=1992s360" TargetMode="External"/><Relationship Id="rId55" Type="http://schemas.openxmlformats.org/officeDocument/2006/relationships/hyperlink" Target="https://esipa.cz/sbirka/sbsrv.dll/sb?DR=SB&amp;CP=2000s133" TargetMode="External"/><Relationship Id="rId56" Type="http://schemas.openxmlformats.org/officeDocument/2006/relationships/hyperlink" Target="https://esipa.cz/sbirka/sbsrv.dll/sb?DR=SB&amp;CP=1999s326" TargetMode="External"/><Relationship Id="rId57" Type="http://schemas.openxmlformats.org/officeDocument/2006/relationships/hyperlink" Target="https://esipa.cz/sbirka/sbsrv.dll/sb?DR=SB&amp;CP=2004s500#C02_H06_D006_P076" TargetMode="External"/><Relationship Id="rId58" Type="http://schemas.openxmlformats.org/officeDocument/2006/relationships/hyperlink" Target="https://esipa.cz/sbirka/sbsrv.dll/sb?DR=SB&amp;CP=2002s312"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4s500#C05_P159" TargetMode="External"/><Relationship Id="rId66" Type="http://schemas.openxmlformats.org/officeDocument/2006/relationships/hyperlink" Target="https://esipa.cz/sbirka/sbsrv.dll/sb?DR=SB&amp;CP=2002s139#C01_P002" TargetMode="External"/><Relationship Id="rId67" Type="http://schemas.openxmlformats.org/officeDocument/2006/relationships/hyperlink" Target="https://esipa.cz/sbirka/sbsrv.dll/sb?DR=SB&amp;CP=2002s139" TargetMode="External"/><Relationship Id="rId68" Type="http://schemas.openxmlformats.org/officeDocument/2006/relationships/hyperlink" Target="https://esipa.cz/sbirka/sbsrv.dll/sb?DR=SB&amp;CP=1991s229" TargetMode="External"/><Relationship Id="rId69" Type="http://schemas.openxmlformats.org/officeDocument/2006/relationships/hyperlink" Target="https://esipa.cz/sbirka/sbsrv.dll/sb?DR=SB&amp;CP=1994s266" TargetMode="External"/><Relationship Id="rId70" Type="http://schemas.openxmlformats.org/officeDocument/2006/relationships/hyperlink" Target="https://esipa.cz/sbirka/sbsrv.dll/sb?DR=SB&amp;CP=1994s072" TargetMode="External"/><Relationship Id="rId71" Type="http://schemas.openxmlformats.org/officeDocument/2006/relationships/hyperlink" Target="https://esipa.cz/sbirka/sbsrv.dll/sb?DR=SB&amp;CP=1992s114#C05_H03_P070" TargetMode="External"/><Relationship Id="rId72" Type="http://schemas.openxmlformats.org/officeDocument/2006/relationships/hyperlink" Target="https://esipa.cz/sbirka/sbsrv.dll/sb?DR=SB&amp;CP=2004s218" TargetMode="External"/><Relationship Id="rId73" Type="http://schemas.openxmlformats.org/officeDocument/2006/relationships/hyperlink" Target="https://esipa.cz/sbirka/sbsrv.dll/sb?DR=SB&amp;CP=2001s100#C01_H03_D002_P023" TargetMode="External"/><Relationship Id="rId74" Type="http://schemas.openxmlformats.org/officeDocument/2006/relationships/hyperlink" Target="https://esipa.cz/sbirka/sbsrv.dll/sb?DR=SB&amp;CP=2000s219" TargetMode="External"/><Relationship Id="rId75" Type="http://schemas.openxmlformats.org/officeDocument/2006/relationships/hyperlink" Target="https://esipa.cz/sbirka/sbsrv.dll/sb?DR=SB&amp;CP=1997s022" TargetMode="External"/><Relationship Id="rId76" Type="http://schemas.openxmlformats.org/officeDocument/2006/relationships/hyperlink" Target="https://esipa.cz/sbirka/sbsrv.dll/sb?DR=SB&amp;CP=2002s163" TargetMode="External"/><Relationship Id="rId77" Type="http://schemas.openxmlformats.org/officeDocument/2006/relationships/hyperlink" Target="https://esipa.cz/sbirka/sbsrv.dll/sb?DR=SB&amp;CP=2002s190" TargetMode="External"/><Relationship Id="rId78" Type="http://schemas.openxmlformats.org/officeDocument/2006/relationships/hyperlink" Target="https://esipa.cz/sbirka/sbsrv.dll/sb?DR=SB&amp;CP=2003s251" TargetMode="External"/><Relationship Id="rId79" Type="http://schemas.openxmlformats.org/officeDocument/2006/relationships/hyperlink" Target="https://esipa.cz/sbirka/sbsrv.dll/sb?DR=SB&amp;CP=2004s128" TargetMode="External"/><Relationship Id="rId80" Type="http://schemas.openxmlformats.org/officeDocument/2006/relationships/hyperlink" Target="https://esipa.cz/sbirka/sbsrv.dll/sb?DR=SB&amp;CP=1997s104" TargetMode="External"/><Relationship Id="rId81" Type="http://schemas.openxmlformats.org/officeDocument/2006/relationships/hyperlink" Target="https://esipa.cz/sbirka/sbsrv.dll/sb?DR=SB&amp;CP=1981s111#P004" TargetMode="External"/><Relationship Id="rId82" Type="http://schemas.openxmlformats.org/officeDocument/2006/relationships/hyperlink" Target="https://esipa.cz/sbirka/sbsrv.dll/sb?DR=SB&amp;CP=1981s111" TargetMode="External"/><Relationship Id="rId83" Type="http://schemas.openxmlformats.org/officeDocument/2006/relationships/hyperlink" Target="https://esipa.cz/sbirka/sbsrv.dll/sb?DR=SB&amp;CP=2001s428#C07_P015" TargetMode="External"/><Relationship Id="rId84" Type="http://schemas.openxmlformats.org/officeDocument/2006/relationships/hyperlink" Target="https://esipa.cz/sbirka/sbsrv.dll/sb?DR=SB&amp;CP=2001s428" TargetMode="External"/><Relationship Id="rId85" Type="http://schemas.openxmlformats.org/officeDocument/2006/relationships/hyperlink" Target="https://esipa.cz/sbirka/sbsrv.dll/sb?DR=SB&amp;CP=2001s274" TargetMode="External"/><Relationship Id="rId86" Type="http://schemas.openxmlformats.org/officeDocument/2006/relationships/hyperlink" Target="https://esipa.cz/sbirka/sbsrv.dll/sb?DR=SB&amp;CP=1978s085#C02_P004" TargetMode="External"/><Relationship Id="rId87" Type="http://schemas.openxmlformats.org/officeDocument/2006/relationships/hyperlink" Target="https://esipa.cz/sbirka/sbsrv.dll/sb?DR=SB&amp;CP=1978s085" TargetMode="External"/><Relationship Id="rId88" Type="http://schemas.openxmlformats.org/officeDocument/2006/relationships/hyperlink" Target="https://esipa.cz/sbirka/sbsrv.dll/sb?DR=SB&amp;CP=2000s352" TargetMode="External"/><Relationship Id="rId89" Type="http://schemas.openxmlformats.org/officeDocument/2006/relationships/hyperlink" Target="http://www.esipa.cz/sbirka/sbsrv.dll/sb?DR=SB&amp;CP=2009s111" TargetMode="External"/><Relationship Id="rId90" Type="http://schemas.openxmlformats.org/officeDocument/2006/relationships/hyperlink" Target="https://esipa.cz/sbirka/sbsrv.dll/sb?DR=SB&amp;CP=2009s227" TargetMode="External"/><Relationship Id="rId91" Type="http://schemas.openxmlformats.org/officeDocument/2006/relationships/hyperlink" Target="https://esipa.cz/sbirka/sbsrv.dll/sb?DR=SB&amp;CP=1991s552" TargetMode="External"/><Relationship Id="rId92" Type="http://schemas.openxmlformats.org/officeDocument/2006/relationships/hyperlink" Target="https://esipa.cz/sbirka/sbsrv.dll/sb?DR=SB&amp;CP=2000s239" TargetMode="External"/><Relationship Id="rId93" Type="http://schemas.openxmlformats.org/officeDocument/2006/relationships/hyperlink" Target="https://esipa.cz/sbirka/sbsrv.dll/sb?DR=SB&amp;CP=2002s380" TargetMode="External"/><Relationship Id="rId94" Type="http://schemas.openxmlformats.org/officeDocument/2006/relationships/hyperlink" Target="https://esipa.cz/sbirka/sbsrv.dll/sb?DR=SB&amp;CP=1997s013#C05_P035" TargetMode="External"/><Relationship Id="rId95" Type="http://schemas.openxmlformats.org/officeDocument/2006/relationships/hyperlink" Target="https://esipa.cz/sbirka/sbsrv.dll/sb?DR=SB&amp;CP=2000s102" TargetMode="External"/><Relationship Id="rId96" Type="http://schemas.openxmlformats.org/officeDocument/2006/relationships/hyperlink" Target="https://esipa.cz/sbirka/sbsrv.dll/sb?DR=SB&amp;CP=2004s018" TargetMode="External"/><Relationship Id="rId97" Type="http://schemas.openxmlformats.org/officeDocument/2006/relationships/hyperlink" Target="https://esipa.cz/sbirka/sbsrv.dll/sb?DR=SB&amp;CP=2004s634" TargetMode="External"/><Relationship Id="rId98" Type="http://schemas.openxmlformats.org/officeDocument/2006/relationships/hyperlink" Target="https://esipa.cz/sbirka/sbsrv.dll/sb?DR=SB&amp;CP=2003s224" TargetMode="External"/><Relationship Id="rId99" Type="http://schemas.openxmlformats.org/officeDocument/2006/relationships/hyperlink" Target="https://esipa.cz/sbirka/sbsrv.dll/sb?DR=SB&amp;CP=1992s360#C04_P022" TargetMode="External"/><Relationship Id="rId100" Type="http://schemas.openxmlformats.org/officeDocument/2006/relationships/hyperlink" Target="https://esipa.cz/sbirka/sbsrv.dll/sb?DR=SB&amp;CP=2004s499" TargetMode="External"/><Relationship Id="rId101" Type="http://schemas.openxmlformats.org/officeDocument/2006/relationships/hyperlink" Target="https://esipa.cz/sbirka/sbsrv.dll/sb?DR=SB&amp;CP=1994s200" TargetMode="External"/><Relationship Id="rId102" Type="http://schemas.openxmlformats.org/officeDocument/2006/relationships/hyperlink" Target="https://esipa.cz/sbirka/sbsrv.dll/sb?DR=SB&amp;CP=2004s499#C01_H03_P068" TargetMode="External"/><Relationship Id="rId103" Type="http://schemas.openxmlformats.org/officeDocument/2006/relationships/hyperlink" Target="https://esipa.cz/sbirka/sbsrv.dll/sb?DR=SB&amp;CP=2006s184" TargetMode="External"/><Relationship Id="rId104" Type="http://schemas.openxmlformats.org/officeDocument/2006/relationships/hyperlink" Target="https://esipa.cz/sbirka/sbsrv.dll/sb?DR=SB&amp;CP=2004s500#C02_H02_D003_P015" TargetMode="External"/><Relationship Id="rId105" Type="http://schemas.openxmlformats.org/officeDocument/2006/relationships/hyperlink" Target="https://esipa.cz/sbirka/sbsrv.dll/sb?DR=SB&amp;CP=2004s500#C02_H06_D004_P058" TargetMode="External"/><Relationship Id="rId106" Type="http://schemas.openxmlformats.org/officeDocument/2006/relationships/hyperlink" Target="https://esipa.cz/sbirka/sbsrv.dll/sb?DR=SB&amp;CP=2004s500#C02_H06_D004_P062" TargetMode="External"/><Relationship Id="rId107" Type="http://schemas.openxmlformats.org/officeDocument/2006/relationships/hyperlink" Target="https://esipa.cz/sbirka/sbsrv.dll/sb?DR=SB&amp;CP=2000s240" TargetMode="External"/><Relationship Id="rId108" Type="http://schemas.openxmlformats.org/officeDocument/2006/relationships/hyperlink" Target="https://esipa.cz/sbirka/sbsrv.dll/sb?DR=SB&amp;CP=1991s513#C01_H01_D01_P002" TargetMode="External"/><Relationship Id="rId109" Type="http://schemas.openxmlformats.org/officeDocument/2006/relationships/hyperlink" Target="https://esipa.cz/sbirka/sbsrv.dll/sb?DR=SB&amp;CP=1997s049#C04_P036" TargetMode="External"/><Relationship Id="rId110" Type="http://schemas.openxmlformats.org/officeDocument/2006/relationships/hyperlink" Target="https://esipa.cz/sbirka/sbsrv.dll/sb?DR=SB&amp;CP=1997s049" TargetMode="External"/><Relationship Id="rId111" Type="http://schemas.openxmlformats.org/officeDocument/2006/relationships/hyperlink" Target="https://esipa.cz/sbirka/sbsrv.dll/sb?DR=SB&amp;CP=2000s227" TargetMode="External"/><Relationship Id="rId112" Type="http://schemas.openxmlformats.org/officeDocument/2006/relationships/hyperlink" Target="https://esipa.cz/sbirka/sbsrv.dll/sb?DR=SB&amp;CP=2009s111" TargetMode="External"/><Relationship Id="rId113" Type="http://schemas.openxmlformats.org/officeDocument/2006/relationships/hyperlink" Target="https://esipa.cz/sbirka/sbsrv.dll/sb?DR=SB&amp;CP=1997s077" TargetMode="External"/><Relationship Id="rId114" Type="http://schemas.openxmlformats.org/officeDocument/2006/relationships/hyperlink" Target="https://esipa.cz/sbirka/sbsrv.dll/sb?DR=SB&amp;CP=1997s151" TargetMode="External"/><Relationship Id="rId115" Type="http://schemas.openxmlformats.org/officeDocument/2006/relationships/hyperlink" Target="https://esipa.cz/sbirka/sbsrv.dll/sb?DR=SB&amp;CP=1990s526" TargetMode="External"/><Relationship Id="rId116" Type="http://schemas.openxmlformats.org/officeDocument/2006/relationships/hyperlink" Target="https://esipa.cz/sbirka/sbsrv.dll/sb?DR=SB&amp;CP=2001s246" TargetMode="External"/><Relationship Id="rId117" Type="http://schemas.openxmlformats.org/officeDocument/2006/relationships/hyperlink" Target="https://esipa.cz/sbirka/sbsrv.dll/sb?DR=SB&amp;CP=2006s262" TargetMode="External"/><Relationship Id="rId118" Type="http://schemas.openxmlformats.org/officeDocument/2006/relationships/hyperlink" Target="https://esipa.cz/sbirka/sbsrv.dll/sb?DR=AZ&amp;CP=2006s183-2012s350#C03_H01_P019" TargetMode="External"/><Relationship Id="rId119" Type="http://schemas.openxmlformats.org/officeDocument/2006/relationships/hyperlink" Target="https://esipa.cz/sbirka/sbsrv.dll/sb?DR=SB&amp;CP=2006s183" TargetMode="External"/><Relationship Id="rId120" Type="http://schemas.openxmlformats.org/officeDocument/2006/relationships/header" Target="header1.xml"/><Relationship Id="rId12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91/2016 Sb. z 15. 4. 2016</dc:title>
  <dc:description>Zákon o územním plánování a stavebním řádu (stavební zákon)</dc:description>
  <dc:subject/>
  <cp:keywords/>
  <cp:category/>
  <cp:lastModifiedBy/>
  <dcterms:created xsi:type="dcterms:W3CDTF">2016-04-15T00:00:00+02:00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