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Ministerstvo vykonává působnost stavebního úřadu k vydání územního rozhodnutí u staveb souvisejících s úložišti radioaktivních odpadů obsahujících přírodní radionuklidy a u staveb náležejících k provozním celkům, jejichž součástí je jaderné zařízení, a u staveb zařízení pro přenos elektřiny, zařízení pro přepravu plynu, pokud je územní řízení vedeno pro celou stavbu elektrického vedení nebo plynovodu, a dále u staveb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(4)</w:t>
      </w:r>
      <w:r>
        <w:rPr/>
        <w:t xml:space="preserve"> Kraj může po projednání s ministerstvem nařízením odejmout působnost stavebního úřadu obecnímu úřadu uvedenému v odstavci 1 písm. e) nebo určenému podle odstavce 3, pokud nebude splňovat podmínky pro řádný výkon této působnosti. Zároveň určí, který stavební úřad bude vykonávat působnost ve správním obvodu zaniklého stavebního úřadu.</w:t>
      </w:r>
    </w:p>
    <w:p>
      <w:pPr>
        <w:ind w:left="0" w:right="0"/>
      </w:pPr>
      <w:r>
        <w:rPr>
          <w:b/>
          <w:bCs/>
        </w:rPr>
        <w:t xml:space="preserve">(5)</w:t>
      </w:r>
      <w:r>
        <w:rPr/>
        <w:t xml:space="preserve"> Působnost podle tohoto zákona vykonávají stavební úřady uvedené v odstavci 1 písm. b) až e) a v odstavci 3 jako působnost přenesenou.</w:t>
      </w:r>
    </w:p>
    <w:p>
      <w:pPr>
        <w:ind w:left="0" w:right="0"/>
      </w:pPr>
      <w:r>
        <w:rPr>
          <w:b/>
          <w:bCs/>
        </w:rPr>
        <w:t xml:space="preserve">(6)</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(7)</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přírodní radionuklidy a u staveb náležejících k provozním celkům, jejichž součástí je jaderné zařízení,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(5)</w:t>
      </w:r>
      <w:r>
        <w:rPr/>
        <w:t xml:space="preserve"> V pochybnostech, zda se v konkrétním případě jedná o stavbu podle odstavce 2 nebo 3,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120,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120,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Uvedené stavby, zařízení a jiná opatření včetně staveb, které s nimi bezprostředně souvisejí včetně oplocení, lze v nezastavěném území umisťovat v případech, pokud je územně plánovací dokumentace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evropsky významnou lokalitu nebo ptačí oblast.</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podle § 25,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60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příznivý stav předmětu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 35 odst.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9 z důvodů významných negativních vlivů přesahujících hranice kraje nevyloučí. Zásady územního rozvoje mohou vymezit plochu nebo koridor a stanovit jejich využití, jehož potřebu a plošné nároky je nutno prověřit (dále jen „územní rezerva“). V územní rezervě jsou zakázány změny v území [§ 2 odst. 1 písm. a)], které by mohly stanovené využití podstatně ztížit nebo znemožnit. Změnit územní rezervu na plochu nebo koridor umožňující stanovené využití lze jen na základě aktualizace zásad územního rozvoje. Současně s návrhem zásad územního rozvoje se zpracovává vyhodnocení vlivů na udržitelný rozvoj území, stanovené využití územní rezervy se přitom z hlediska vlivů na životní prostředí a evropsky významné lokality a ptačí oblasti neposuzuje.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Pokud návrh zásad územního rozvoje obsahuje podmínky pro pořízení a vydání regulačního plánu, které jsou návrhem jeho zadání (§ 36 odst. 2), a tento regulační plán bude nahrazovat rozhodnutí o umístění záměru, který je předmětem posuzování vlivů na životní prostředí, zašle krajský úřad návrh zadání včetně oznámení záměru příslušnému úřadu podle zákona o posuzování vlivů na životní prostředí (dále jen „příslušný úřad“) k provedení zjišťovacího řízení</w:t>
      </w:r>
      <w:r>
        <w:rPr>
          <w:vertAlign w:val="superscript"/>
        </w:rPr>
        <w:t xml:space="preserve">11</w:t>
      </w:r>
      <w:r>
        <w:rPr/>
        <w:t xml:space="preserve">) a orgánu ochrany přírody k uplatnění stanoviska podle § 45i zákona o ochraně přírody a krajiny. Závěr zjišťovacího řízení včetně stanoviska orgánu ochrany přírody krajský úřad zohlední v návrhu zadání a připojí k odůvodnění návrhu zásad územního rozvoje.</w:t>
      </w:r>
    </w:p>
    <w:p>
      <w:pPr>
        <w:ind w:left="0" w:right="0"/>
      </w:pPr>
      <w:r>
        <w:rPr>
          <w:b/>
          <w:bCs/>
        </w:rPr>
        <w:t xml:space="preserve">(3)</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(4)</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(5)</w:t>
      </w:r>
      <w:r>
        <w:rPr/>
        <w:t xml:space="preserve"> Krajský úřad ve spolupráci s Ministerstvem zahraničních věcí zašle návrh zásad územního rozvoje sousedním státům, jejichž území může být uplatňováním zásad územního rozvoje přímo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(6)</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(7)</w:t>
      </w:r>
      <w:r>
        <w:rPr/>
        <w:t xml:space="preserve"> Krajský úřad zašle návrh zásad územního rozvoje, vyhodnocení vlivů na udržitelný rozvoj území, stanoviska, připomínky, vyjádření a případné výsledky konzultací podle odstavců 3 až 6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(8)</w:t>
      </w:r>
      <w:r>
        <w:rPr/>
        <w:t xml:space="preserve"> Pokud z posouzení vlivu na evropsky významnou lokalitu nebo ptačí oblast vyplyne, že zásady územního rozvoje mají významný negativní vliv na příznivý stav předmětu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(9)</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to do 30 dnů od obdržení podkladů podle odstavce 7 věty první. Pokud nezašle stanovisko ve stanovené lhůtě, je možné zásady územního rozvoje vydat i bez jeho stanoviska.</w:t>
      </w:r>
    </w:p>
    <w:p>
      <w:pPr>
        <w:ind w:left="0" w:right="0"/>
      </w:pPr>
      <w:r>
        <w:rPr>
          <w:b/>
          <w:bCs/>
        </w:rPr>
        <w:t xml:space="preserve">(10)</w:t>
      </w:r>
      <w:r>
        <w:rPr/>
        <w:t xml:space="preserve"> V případě, že ministerstvo upozorní ve stanovisku krajský úřad na nedostatky z hledisek uvedených v odstavci 9,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obce v řešeném území a obce sousedící s tímto územím (dále jen „dotčené obce“) a sousední kraje, a to nejméně 30 dnů předem.</w:t>
      </w:r>
    </w:p>
    <w:p>
      <w:pPr>
        <w:ind w:left="0" w:right="0"/>
      </w:pPr>
      <w:r>
        <w:rPr>
          <w:b/>
          <w:bCs/>
        </w:rPr>
        <w:t xml:space="preserve">(2)</w:t>
      </w:r>
      <w:r>
        <w:rPr/>
        <w:t xml:space="preserve"> Dotčené obce, vlastník, správce nebo provozovatel veřejné dopravní nebo veřejné technické infrastruktury (dále jen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3)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7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8"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zásad územního rozvoje zahrnující právní stav po vydání poslední aktualizace a toto vyhotovení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3 a 4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10 a § 38 až 41. K návrhu aktualizace zásad územního rozvoje krajský úřad zajistí vyhodnocení vlivů na udržitelný rozvoj území. Dojde-li ke zrušení celých zásad územního rozvoje,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na její zpracování včetně vyhodnocení vlivů na udržitelný rozvoj území a úhradou nákladů podle § 45 odst. 2 navrhovatelem. Pokud je pořízení aktualizace zásad územního rozvoje vyvoláno schválením politiky územního rozvoje nebo její aktualizace, hradí takto vyvolané náklady na aktualizaci zásad územního rozvoje a náklady na změny územních plánů Ministerstvo financí, s výjimkou případů, kdy příslušná část politiky územního rozvoje nebo její aktualizace, která změnu vyvolala, je zjevně ve prospěch rozvoje nebo ochrany hodnot území kraje, nebo byla přijata na návrh kraje.</w:t>
      </w:r>
    </w:p>
    <w:p>
      <w:pPr>
        <w:ind w:left="0" w:right="0"/>
      </w:pPr>
      <w:r>
        <w:rPr>
          <w:b/>
          <w:bCs/>
        </w:rPr>
        <w:t xml:space="preserve">(8)</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4);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 Územní plán ani vyhodnocení vlivů na udržitelný rozvoj území nesmí obsahovat podrobnosti náležející svým obsahem regulačnímu plánu nebo územním rozhodnutím.</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a na vyhodnocení vlivů na udržitelný rozvoj území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na vyhodnocení vlivů na udržitelný rozvoj území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 Pokud návrh územního plánu obsahuje návrh zadání regulačního plánu (§ 43 odst. 2), postupuje se přiměřeně podle § 37 odst. 2.</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zašle návrh územního plánu příslušným orgánům sousedního státu, jehož území může být uplatňováním územního plánu přímo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w:t>
      </w:r>
    </w:p>
    <w:p>
      <w:pPr>
        <w:ind w:left="0" w:right="0"/>
      </w:pPr>
      <w:r>
        <w:rPr>
          <w:b/>
          <w:bCs/>
        </w:rPr>
        <w:t xml:space="preserve">(6)</w:t>
      </w:r>
      <w:r>
        <w:rPr/>
        <w:t xml:space="preserve"> Pokud z posouzení vlivu na evropsky významnou lokalitu nebo ptačí oblast vyplyne, že územní plán má významný negativní vliv na příznivý stav předmětu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8"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Pokud jsou pokyny pro zpracování návrhu změny územního plánu součástí této zprávy, postupuje se dále v rozsahu této změny obdobně podle ustanovení § 50 až 54.</w:t>
      </w:r>
    </w:p>
    <w:p>
      <w:pPr>
        <w:ind w:left="0" w:right="0"/>
      </w:pPr>
      <w:r>
        <w:rPr>
          <w:b/>
          <w:bCs/>
        </w:rPr>
        <w:t xml:space="preserve">(2)</w:t>
      </w:r>
      <w:r>
        <w:rPr/>
        <w:t xml:space="preserve"> Pokud není změna územního plánu pořizována na základě zprávy o uplatňování územního plánu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 5, zastupitelstvo obce bezodkladně rozhodne o pořízení územního plánu nebo jeho změny a o jejím obsahu. Zpráva o uplatňování územního plánu ani zadání změny územního plánu se v tomto případě nezpracovávají. V rozsahu této změny se dále postupuje obdobně podle § 43 až 45, § 50 odst. 2 až 8 a § 51 až 54; vyhodnocení vlivů změny územního plánu na udržitelný rozvoj území se při uvedení územního plánu do souladu s územně plánovací dokumentací kraje nezpracovává. Dojde-li ke zrušení celého územního plánu,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(5)</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(6)</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w:t>
      </w:r>
    </w:p>
    <w:p>
      <w:pPr>
        <w:ind w:left="0" w:right="0"/>
      </w:pPr>
      <w:r>
        <w:rPr>
          <w:b/>
          <w:bCs/>
        </w:rPr>
        <w:t xml:space="preserve">(3)</w:t>
      </w:r>
      <w:r>
        <w:rPr/>
        <w:t xml:space="preserve"> Pokud část regulačního plánu nahrazuje územní rozhodnutí pro záměr, který je předmětem posuzování vlivů na životní prostředí</w:t>
      </w:r>
      <w:r>
        <w:rPr>
          <w:vertAlign w:val="superscript"/>
        </w:rPr>
        <w:t xml:space="preserve">11</w:t>
      </w:r>
      <w:r>
        <w:rPr/>
        <w:t xml:space="preserve">), posuzují se vlivy tohoto záměru. Postupy posuzování vlivů na životní prostředí a pořizování regulačního plánu se spojují u záměru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uvedeného v příloze č. 1 kategorii II zákona o posuzování vlivů na životní prostředí,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kterého je příslušným úřadem krajský úřad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kterého proběhlo zjišťovací řízení podle § 7 zákona o posuzování vlivů na životní prostředí, pokud příslušný úřad v závěru zjišťovacího řízení spojení těchto postupů nevyloučil.</w:t>
      </w:r>
    </w:p>
    <w:p>
      <w:pPr>
        <w:ind w:left="0" w:right="0"/>
      </w:pPr>
      <w:r>
        <w:rPr/>
        <w:t xml:space="preserve">V těchto případech se posudek o vlivech záměru na životní prostředí nezpracovává. Spojení postupů posuzování vlivů na životní prostředí a pořizování regulačního plánu je vyloučeno u záměru vyžadujícího posuzování vlivů na životní prostředí přesahujících hranice České republiky.</w:t>
      </w:r>
    </w:p>
    <w:p>
      <w:pPr>
        <w:ind w:left="0" w:right="0"/>
      </w:pPr>
      <w:r>
        <w:rPr>
          <w:b/>
          <w:bCs/>
        </w:rPr>
        <w:t xml:space="preserve">(4)</w:t>
      </w:r>
      <w:r>
        <w:rPr/>
        <w:t xml:space="preserve"> Pokud regulační plán nenahrazuje územní rozhodnutí pro záměr, který je uveden v odstavci 3, zvláštní ustanovení tohoto zákona upravující posuzování vlivů regulačního plánu na životní prostředí se nepoužijí. U podlimitních záměrů příslušný úřad postupem podle zákona o posuzování vlivů na životní prostředí sdělí, zda záměr bude podléhat zjišťovacímu řízení.</w:t>
      </w:r>
    </w:p>
    <w:p>
      <w:pPr>
        <w:ind w:left="0" w:right="0"/>
      </w:pPr>
      <w:r>
        <w:rPr>
          <w:b/>
          <w:bCs/>
        </w:rPr>
        <w:t xml:space="preserve">(5)</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a náklady na zpracování dokumentace vlivů záměru na životní prostředí včetně posouzení vlivu záměru na evropsky významnou lokalitu nebo ptačí oblast, pokud se zpracovává (dále jen „dokumentace vlivů“),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na dokumentaci vlivů a na mapové podklady.</w:t>
      </w:r>
    </w:p>
    <w:p>
      <w:pPr>
        <w:ind w:left="0" w:right="0"/>
      </w:pPr>
      <w:r>
        <w:rPr>
          <w:b/>
          <w:bCs/>
        </w:rPr>
        <w:t xml:space="preserve">(2)</w:t>
      </w:r>
      <w:r>
        <w:rPr/>
        <w:t xml:space="preserve"> Při pořizování regulačního plánu na žádost zajišťuje a hradí jeho zpracování, dokumentaci vlivů,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se závěrem zjišťovacího řízení součástí územního plánu nebo zásad územního rozvoje, zpracuje pořizovatel současně s návrhem zadání i oznámení záměru. Návrh zadání s oznámením záměru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zašle příslušnému úřadu, který je bezodkladně zveřejní způsobem umožňujícím dálkový přístup,</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zašle dotčeným orgánům a dotčeným obcím neuvedeným v písmenu b), které bezodkladně určí příslušný úřad; obce oznámení bezodkladně zveřejní na svých úředních deskách.</w:t>
      </w:r>
    </w:p>
    <w:p>
      <w:pPr>
        <w:ind w:left="0" w:right="0"/>
      </w:pPr>
      <w:r>
        <w:rPr>
          <w:b/>
          <w:bCs/>
        </w:rPr>
        <w:t xml:space="preserve">(3)</w:t>
      </w:r>
      <w:r>
        <w:rPr/>
        <w:t xml:space="preserve"> Každý může uplatnit u pořizovatele ve lhůtě 15 dnů ode dne doručení návrhu zadání regulačního plánu s oznámením záměru písemně požadavky na obsah zadání a vyjádření k oznámení záměru. Orgány uvedené v odstavci 2 písm. b) a d) mohou uplatnit do 30 dnů od obdržení návrhu zadání u pořizovatele vyjádření, ve kterém uvedou požadavky na obsah zadání, a vyjádření k oznámení záměru. Orgán ochrany přírody uplatní ve stejné lhůtě stanovisko podle § 45i zákona o ochraně přírody a krajiny, pokud již není součástí oznámení záměru. K později uplatněným požadavkům a vyjádřením se nepřihlíží. Obdržené požadavky, vyjádření a stanoviska pořizovatel předá příslušnému úřadu.</w:t>
      </w:r>
    </w:p>
    <w:p>
      <w:pPr>
        <w:ind w:left="0" w:right="0"/>
      </w:pPr>
      <w:r>
        <w:rPr>
          <w:b/>
          <w:bCs/>
        </w:rPr>
        <w:t xml:space="preserve">(4)</w:t>
      </w:r>
      <w:r>
        <w:rPr/>
        <w:t xml:space="preserve"> Příslušný úřad vydá do 10 dnů ode dne předání požadavků, vyjádření a stanovisek závěr zjišťovacího řízení, který zašle pořizovateli a současně ho zveřejní způsobem umožňujícím dálkový přístup.</w:t>
      </w:r>
    </w:p>
    <w:p>
      <w:pPr>
        <w:ind w:left="0" w:right="0"/>
      </w:pPr>
      <w:r>
        <w:rPr>
          <w:b/>
          <w:bCs/>
        </w:rPr>
        <w:t xml:space="preserve">(5)</w:t>
      </w:r>
      <w:r>
        <w:rPr/>
        <w:t xml:space="preserve"> Na základě uplatněných vyjádření, stanoviska a závěru zjišťovacího řízení pořizovatel upraví návrh zadání regulačního plánu a předloží ho příslušnému zastupitelstvu ke schválení. Spolu s návrhem zadání předloží vyhodnocení, jak byly uplatněné požadavky, stanovisko a závěr zjišťovacího řízení do jeho návrhu zapracovány.</w:t>
      </w:r>
    </w:p>
    <w:p>
      <w:pPr>
        <w:ind w:left="0" w:right="0"/>
      </w:pPr>
      <w:r>
        <w:rPr>
          <w:b/>
          <w:bCs/>
        </w:rPr>
        <w:t xml:space="preserve">(6)</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(7)</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návrhu regulačního plánu, včetně údajů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dokumentace vlivů záměru na životní prostředí, pokud tak stanoví zvláštní právní předpis</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záměru na evropsky významnou lokalitu nebo ptačí oblast</w:t>
      </w:r>
      <w:r>
        <w:rPr>
          <w:vertAlign w:val="superscript"/>
        </w:rPr>
        <w:t xml:space="preserve">12</w:t>
      </w:r>
      <w:r>
        <w:rPr/>
        <w:t xml:space="preserve">)</w:t>
      </w:r>
      <w:r>
        <w:rPr/>
        <w:t xml:space="preserve">, pokud orgán ochrany přírody ve svém stanovisku k návrhu zadání takovýto vliv nevyloučil.</w:t>
      </w:r>
    </w:p>
    <w:p>
      <w:pPr>
        <w:ind w:left="0" w:right="0"/>
      </w:pPr>
      <w:r>
        <w:rPr>
          <w:b/>
          <w:bCs/>
        </w:rPr>
        <w:t xml:space="preserve">(2)</w:t>
      </w:r>
      <w:r>
        <w:rPr/>
        <w:t xml:space="preserve"> Pořizovatel předloží dokumentaci vlivů příslušnému úřadu.</w:t>
      </w:r>
    </w:p>
    <w:p>
      <w:pPr>
        <w:ind w:left="0" w:right="0"/>
      </w:pPr>
      <w:r>
        <w:rPr>
          <w:b/>
          <w:bCs/>
        </w:rPr>
        <w:t xml:space="preserve">(3)</w:t>
      </w:r>
      <w:r>
        <w:rPr/>
        <w:t xml:space="preserve"> Pořizovatel oznámí jednotlivě orgánům uvedeným v § 64 odst. 2 písm. b) a d) a dotčeným obcím místo a dobu konání společného jednání o návrhu regulačního plánu a dokumentaci vlivů, a to nejméně 15 dnů předem. Současně tyto orgány vyzve k uplatnění stanovisek k návrhu regulačního plánu a vyjádření k dokumentaci vlivů do 30 dnů ode dne společného jednání. K později uplatněným stanoviskům a vyjádřením se nepřihlíží. Obdržená stanoviska a vyjádření pořizovatel zašle příslušnému úřadu.</w:t>
      </w:r>
    </w:p>
    <w:p>
      <w:pPr>
        <w:ind w:left="0" w:right="0"/>
      </w:pPr>
      <w:r>
        <w:rPr>
          <w:b/>
          <w:bCs/>
        </w:rPr>
        <w:t xml:space="preserve">(4)</w:t>
      </w:r>
      <w:r>
        <w:rPr/>
        <w:t xml:space="preserve"> Pořizovatel doručí návrh regulačního plánu a dokumentaci vlivů veřejnou vyhláškou. Do 15 dnů ode dne doručení může každý u pořizovatele uplatnit písemně připomínky k návrhu regulačního plánu a vyjádření k dokumentaci vlivů. K později uplatněným připomínkám se nepřihlíží. Připomínky a vyjádření pořizovatel zašle v kopii příslušnému úřadu.</w:t>
      </w:r>
    </w:p>
    <w:p>
      <w:pPr>
        <w:ind w:left="0" w:right="0"/>
      </w:pPr>
      <w:r>
        <w:rPr>
          <w:b/>
          <w:bCs/>
        </w:rPr>
        <w:t xml:space="preserve">(5)</w:t>
      </w:r>
      <w:r>
        <w:rPr/>
        <w:t xml:space="preserve"> Příslušný úřad uplatní u pořizovatele stanovisko k posouzení vlivů návrhu regulačního plánu na životní prostředí do 15 dnů ode dne obdržení kopií stanovisek, připomínek a vyjádření. Ze závažných důvodů, které příslušný úřad sdělí pořizovateli nejpozději do 15 dnů od obdržení podkladů, se lhůta pro uplatnění stanoviska prodlužuje, nejdéle však o 30 dnů. Pokud příslušný úřad stanovisko neuplatní ve lhůtě podle věty druhé ani v prodloužené lhůtě, je možné regulační plán vydat i bez jeho stanoviska.</w:t>
      </w:r>
    </w:p>
    <w:p>
      <w:pPr>
        <w:ind w:left="0" w:right="0"/>
      </w:pPr>
      <w:r>
        <w:rPr>
          <w:b/>
          <w:bCs/>
        </w:rPr>
        <w:t xml:space="preserve">(6)</w:t>
      </w:r>
      <w:r>
        <w:rPr/>
        <w:t xml:space="preserve"> Pokud příslušný úřad ve stanovisku podle odstavce 5 určí, že regulační plán má významný negativní vliv na příznivý stav předmětu ochrany nebo celistvost evropsky významné lokality nebo ptačí oblasti, postupuje se podle § 45i odst. 9 až 11 zákona o ochraně přírody a krajiny. Kompenzační opatření uvede orgán ochrany přírody ve stanovisku podle § 4 odst. 2 písm. b).</w:t>
      </w:r>
    </w:p>
    <w:p>
      <w:pPr>
        <w:ind w:left="0" w:right="0"/>
      </w:pPr>
      <w:r>
        <w:rPr>
          <w:b/>
          <w:bCs/>
        </w:rPr>
        <w:t xml:space="preserve">(7)</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 včetně stanoviska k posouzení vlivů provedení záměru na životní prostředí</w:t>
      </w:r>
      <w:r>
        <w:rPr>
          <w:vertAlign w:val="superscript"/>
        </w:rPr>
        <w:t xml:space="preserve">11</w:t>
      </w:r>
      <w:r>
        <w:rPr/>
        <w:t xml:space="preserve">), pokud záměr řešený regulačním plánem toto posouzení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vlivu na evropsky významnou lokalitu nebo ptačí oblast</w:t>
      </w:r>
      <w:r>
        <w:rPr>
          <w:vertAlign w:val="superscript"/>
        </w:rPr>
        <w:t xml:space="preserve">12</w:t>
      </w:r>
      <w:r>
        <w:rPr/>
        <w:t xml:space="preserve">)</w:t>
      </w:r>
      <w:r>
        <w:rPr/>
        <w:t xml:space="preserve">, pokud orgán ochrany přírody ve svých požadavcích na obsah zadání takovýto vliv nevyloučil,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Pokud krajský úřad ve stanovisku podle odstavce 3 písm. a) určí, že regulační plán má významný negativní vliv na příznivý stav předmětu ochrany nebo celistvost některé evropsky významné lokality nebo ptačí oblasti, který nebyl předmětem posouzení vydaných zásad územního rozvoje nebo územního plánu z hlediska těchto vlivů, postupuje se podle § 45i odst. 9 až 11 zákona o ochraně přírody a krajiny. Kompenzační opatření uvede příslušný orgán ochrany přírody ve stanovisku podle § 4 odst. 2 písm. b).</w:t>
      </w:r>
    </w:p>
    <w:p>
      <w:pPr>
        <w:ind w:left="0" w:right="0"/>
      </w:pPr>
      <w:r>
        <w:rPr>
          <w:b/>
          <w:bCs/>
        </w:rPr>
        <w:t xml:space="preserve">(6)</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dokumentaci vlivů a oznámení o konání veřejného projednání pořizovatel doručí veřejnou vyhláškou. Veřejné projednání</w:t>
      </w:r>
      <w:r>
        <w:rPr>
          <w:vertAlign w:val="superscript"/>
        </w:rPr>
        <w:t xml:space="preserve">21</w:t>
      </w:r>
      <w:r>
        <w:rPr/>
        <w:t xml:space="preserve">) návrhu a dokumentace vlivů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3 až 6)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Upravený návrh a dokumentace vlivů se v rozsahu těchto úprav projedná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6,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závěrech vyplývajících z dokumentace vlivů,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příslušného úřadu k posouzení vlivů návrhu regulačního plánu na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písmene c)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8" w:history="1">
        <w:r>
          <w:rPr>
            <w:color w:val="darkblue"/>
            <w:u w:val="single"/>
          </w:rPr>
          <w:t xml:space="preserve">§ 97</w:t>
        </w:r>
      </w:hyperlink>
      <w:r>
        <w:rPr/>
        <w:t xml:space="preserve"> odst. 3 správního řádu.</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se postupuje přiměřeně podle ustanovení § 61 až 65 a obdobně podle ustanovení § 67 až 69. Při zrušení regulačního plánu se postupuje přiměřeně podle § 61, 67 a 69, ustanovení o zadání a o posuzování vlivů se přitom nepoužijí.</w:t>
      </w:r>
    </w:p>
    <w:p>
      <w:pPr>
        <w:ind w:left="0" w:right="0"/>
      </w:pPr>
      <w:r>
        <w:rPr>
          <w:b/>
          <w:bCs/>
        </w:rPr>
        <w:t xml:space="preserve">(4)</w:t>
      </w:r>
      <w:r>
        <w:rPr/>
        <w:t xml:space="preserve"> Obec je povinna uvést regulační plán z podnětu do souladu s následně vydanou územně plánovací dokumentací kraje, následně schválenou politikou územního rozvoje anebo následně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následně vydanými zásadami územního rozvoje a politikou územního rozvoje. Do té doby nelze postupovat podle částí regulačního plánu, které jsou v rozporu s těmito zásadami nebo politikou územního rozvoje.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7 a obdobně podle § 65 a § 67 až 69, při zrušení se postupuje podle odstavce 3. Dojde-li ke zrušení celého regulačního plánu, při pořizování se naváže na poslední úkon, který nebyl zrušením zpochybněn, pokud příslušné zastupitelstvo u regulačního plánu pořizovaného z podnětu nerozhodne, že regulační plán nebude pořizován.</w:t>
      </w:r>
    </w:p>
    <w:p>
      <w:pPr>
        <w:pStyle w:val="Heading5"/>
      </w:pPr>
      <w:r>
        <w:rPr>
          <w:b/>
          <w:bCs/>
        </w:rPr>
        <w:t xml:space="preserve">§ 72</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73</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74</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75</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Stavební úřad může vést společné územní a stavební řízení podle § 94a, jsou-li podmínky v území jednoznačné, zejména je-li pro území vydán územní plán nebo regulační plán.</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 104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bylo vydáno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doklad prokazující jeho vlastnické právo k pozemku nebo stavbě, na nichž se má záměr uskutečnit, nebo smlouvu nebo doklad o právu provést stavbu nebo opatření k pozemkům nebo stavbám anebo souhlas podle § 86 odst. 3.</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které nehraničí s veřejně přístupnými pozemními komunikacemi nebo s veřejným prostranstvím</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jaderné zařízení nebo stavbu pro podnikatelskou činnost, je v souladu s územně plánovací dokumentací, je umisťována v odstupové vzdálenosti od společných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pozemku rodinného domu nebo stavby pro rodinnou rekreaci v zastavěném území umístěný v odstupové vzdálenosti nejméně 2 m od hranice pozemku,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59</w:t>
      </w:r>
      <w:r>
        <w:rPr/>
        <w:t xml:space="preserve">), pokud se nemění její trasa a nedochází k překročení hranice stávajícího ochranného nebo bezpečnostního pásma.</w:t>
      </w:r>
    </w:p>
    <w:p>
      <w:pPr>
        <w:ind w:left="0" w:right="0"/>
      </w:pPr>
      <w:r>
        <w:rPr>
          <w:b/>
          <w:bCs/>
        </w:rPr>
        <w:t xml:space="preserve">(3)</w:t>
      </w:r>
      <w:r>
        <w:rPr/>
        <w:t xml:space="preserve"> Ustanovení odstavce 2 se nevztahuje na kulturní památky a ustanovení odstavce 2 písm. a), f), j), l), n), o), p), r) a s)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p>
    <w:p>
      <w:pPr>
        <w:ind w:left="0" w:right="0"/>
      </w:pPr>
      <w:r>
        <w:rPr>
          <w:b/>
          <w:bCs/>
        </w:rPr>
        <w:t xml:space="preserve">(4)</w:t>
      </w:r>
      <w:r>
        <w:rPr/>
        <w:t xml:space="preserve"> Ustanovení odstavce 2 se nevztahuje na záměry posuzované z hlediska vlivů na životní prostředí.</w:t>
      </w:r>
    </w:p>
    <w:p>
      <w:pPr>
        <w:ind w:left="0" w:right="0"/>
      </w:pPr>
      <w:r>
        <w:rPr>
          <w:b/>
          <w:bCs/>
        </w:rPr>
        <w:t xml:space="preserve">(5)</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(6)</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posuzované z hlediska vlivů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bylo vydáno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smlouvu nebo doklad o právu provést stavbu nebo opatření k pozemkům nebo stavbám,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nevydává-li se koordinované závazné stanovisko podle § 4 odst. 7 nebo o závazné stanovisko vydávané správním orgánem,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nebo plánovací smlouvu,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výkresovou dokumentaci a dokladovou část.</w:t>
      </w:r>
    </w:p>
    <w:p>
      <w:pPr>
        <w:ind w:left="0" w:right="0"/>
      </w:pPr>
      <w:r>
        <w:rPr>
          <w:b/>
          <w:bCs/>
        </w:rPr>
        <w:t xml:space="preserve">(3)</w:t>
      </w:r>
      <w:r>
        <w:rPr/>
        <w:t xml:space="preserve"> Jestliže žadatel nemá vlastnické právo, smlouvu nebo doklad o právu provést stavbu nebo opatření k pozemku nebo stavbě, předloží souhlas jejich vlastníka; to neplatí, lze-li pozemek nebo stavbu vyvlastnit.</w:t>
      </w:r>
    </w:p>
    <w:p>
      <w:pPr>
        <w:ind w:left="0" w:right="0"/>
      </w:pPr>
      <w:r>
        <w:rPr>
          <w:b/>
          <w:bCs/>
        </w:rPr>
        <w:t xml:space="preserve">(4)</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(5)</w:t>
      </w:r>
      <w:r>
        <w:rPr/>
        <w:t xml:space="preserve"> Pokud žádost neobsahuje požadované náležitosti, stavební úřad vyzve žadatele k jejímu doplnění a řízení přeruší; usnesení o přerušení se oznamuje pouze žadateli. Pokud dokumentace pro vydání územního rozhodnutí není zpracována projektantem, stavební úřad řízení zastaví; usnesení o zastavení řízení se doručuje pouze žadateli.</w:t>
      </w:r>
    </w:p>
    <w:p>
      <w:pPr>
        <w:ind w:left="0" w:right="0"/>
      </w:pPr>
      <w:r>
        <w:rPr>
          <w:b/>
          <w:bCs/>
        </w:rPr>
        <w:t xml:space="preserve">(6)</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(7)</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účastníkům řízení uvedeným v § 85 odst. 1 a v § 85 odst. 2 písm. a) a dotčeným orgánům jednotlivě.</w:t>
      </w:r>
    </w:p>
    <w:p>
      <w:pPr>
        <w:ind w:left="0" w:right="0"/>
      </w:pPr>
      <w:r>
        <w:rPr>
          <w:b/>
          <w:bCs/>
        </w:rPr>
        <w:t xml:space="preserve">(2)</w:t>
      </w:r>
      <w:r>
        <w:rPr/>
        <w:t xml:space="preserve"> V případech záměrů posuzovaných ve zjišťovacím řízení, nebo pro které bylo vydáno stanovisko k posouzení vlivů provedení záměru na životní prostředí, anebo záměrů umisťovaných v území, ve kterém nebyl vydán územní plán, stavební úřad nařídí k projednání žádosti veřejné ústní jednání.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doručuje oznámení o zahájení řízení a další úkony v řízení vyvěšením na úředních deskách příslušných obecních úřadů; obci, která je účastníkem řízení podle § 85 odst. 1 písm. b), se doručuje jednotlivě. Dnem vyvěšení je den vyvěšení na úřední desce správního orgánu, který je stavebním úřadem.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do 60 dnů ode dne zahájení územního řízení; ve zvlášť složitých případech, zejména při postupu podle odstavce 2, stavební úřad rozhodne nejdéle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 pokud se záměr dotýká veřejné dopravní a technické infrastruktury ve vlastnictví obce, nebo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je účastníkem řízení podle § 85 odst. 2 písm. a) a b), může uplatňovat námitky proti projednávanému záměru v rozsahu, jakým je její právo přímo dotčeno. Osoba, která je účastníkem řízení podle § 85 odst. 2 písm. c),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Posuzování vlivů na životní prostředí v územním řízení</w:t>
      </w:r>
    </w:p>
    <w:p>
      <w:pPr>
        <w:ind w:left="0" w:right="0"/>
      </w:pPr>
      <w:r>
        <w:rPr>
          <w:b/>
          <w:bCs/>
        </w:rPr>
        <w:t xml:space="preserve">(1)</w:t>
      </w:r>
      <w:r>
        <w:rPr/>
        <w:t xml:space="preserve"> Územní řízení lze spojit s vybranými postupy při posuzování vlivů na životní prostředí podle zvláštního právního předpisu</w:t>
      </w:r>
      <w:r>
        <w:rPr>
          <w:vertAlign w:val="superscript"/>
        </w:rPr>
        <w:t xml:space="preserve">11</w:t>
      </w:r>
      <w:r>
        <w:rPr/>
        <w:t xml:space="preserve">) u záměrů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uvedených v příloze č. 1 kategorii II zákona o posuzování vlivů na životní prostředí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kterých příslušným úřadem je krajský úřad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kterých proběhlo zjišťovací řízení podle § 7 zákona o posuzování vlivů na životní prostředí</w:t>
      </w:r>
      <w:r>
        <w:rPr>
          <w:vertAlign w:val="superscript"/>
        </w:rPr>
        <w:t xml:space="preserve">11</w:t>
      </w:r>
      <w:r>
        <w:rPr/>
        <w:t xml:space="preserve">),</w:t>
      </w:r>
    </w:p>
    <w:p>
      <w:pPr>
        <w:ind w:left="0" w:right="0"/>
      </w:pPr>
      <w:r>
        <w:rPr/>
        <w:t xml:space="preserve">pokud příslušný úřad v závěru zjišťovacího řízení spojení těchto postupů nevyloučil.</w:t>
      </w:r>
    </w:p>
    <w:p>
      <w:pPr>
        <w:ind w:left="0" w:right="0"/>
      </w:pPr>
      <w:r>
        <w:rPr>
          <w:b/>
          <w:bCs/>
        </w:rPr>
        <w:t xml:space="preserve">(2)</w:t>
      </w:r>
      <w:r>
        <w:rPr/>
        <w:t xml:space="preserve"> Spojení územního řízení s vybranými postupy při posuzování vlivů na životní prostředí je vyloučeno u záměrů vyžadujících posuzování vlivů na životní prostředí přesahujících hranice České republiky. Při spojení územního řízení s vybranými postupy při posuzování vlivů na životní prostředí nelze vést spojené územní a stavební řízení.</w:t>
      </w:r>
    </w:p>
    <w:p>
      <w:pPr>
        <w:ind w:left="0" w:right="0"/>
      </w:pPr>
      <w:r>
        <w:rPr>
          <w:b/>
          <w:bCs/>
        </w:rPr>
        <w:t xml:space="preserve">(3)</w:t>
      </w:r>
      <w:r>
        <w:rPr/>
        <w:t xml:space="preserve"> Stavebním úřadem příslušným k územnímu řízení spojenému s vybranými postupy při posuzování vlivů na životní prostředí je obecní úřad obce s rozšířenou působností.</w:t>
      </w:r>
    </w:p>
    <w:p>
      <w:pPr>
        <w:ind w:left="0" w:right="0"/>
      </w:pPr>
      <w:r>
        <w:rPr>
          <w:b/>
          <w:bCs/>
        </w:rPr>
        <w:t xml:space="preserve">(4)</w:t>
      </w:r>
      <w:r>
        <w:rPr/>
        <w:t xml:space="preserve"> Žadatel k žádosti o vydání územního rozhodnutí připojí kromě náležitostí podle § 86 odst. 2 také dokumentaci vlivů záměru na životní prostředí podle zákona o posuzování vlivů na životní prostředí</w:t>
      </w:r>
      <w:r>
        <w:rPr>
          <w:vertAlign w:val="superscript"/>
        </w:rPr>
        <w:t xml:space="preserve">11</w:t>
      </w:r>
      <w:r>
        <w:rPr/>
        <w:t xml:space="preserve">). Žádost a dokumentace k ní připojované se podávají také v elektronické podobě. Stavební úřad může v odůvodněných případech, zejména z technických a ekonomických důvodů, upustit od elektronické podoby mapových, obrazových nebo grafických příloh dokumentace. Posudek o vlivech záměru na životní prostředí se v těchto případech nezpracovává a nepředkládá. Příslušný úřad si v odůvodněných případech, zejména v pochybnostech o správnosti údajů uvedených v dokumentaci, opatří odborné posouzení, které není posudkem podle zvláštního právního předpisu a které se nezveřejňuje a neprojednává. Zpracovatel odborné posouzení zpracuje pouze v rozsahu a s náležitostmi požadovanými příslušným úřadem.</w:t>
      </w:r>
    </w:p>
    <w:p>
      <w:pPr>
        <w:ind w:left="0" w:right="0"/>
      </w:pPr>
      <w:r>
        <w:rPr>
          <w:b/>
          <w:bCs/>
        </w:rPr>
        <w:t xml:space="preserve">(5)</w:t>
      </w:r>
      <w:r>
        <w:rPr/>
        <w:t xml:space="preserve"> Stavební úřad bezodkladně po podání žádosti zašle příslušnému úřadu dokumentaci vlivů záměru na životní prostředí a posoudí úplnost žádosti a k ní připojované dokumentace. V případě, že zjistí, že žádost nemá předepsané náležitosti nebo mu příslušný úřad na základě obdržených podkladů sdělí, že dokumentace vlivů záměru na životní prostředí není úplná nebo nesplňuje požadavky závěrů zjišťovacího řízení, stavební úřad řízení přeruší a vyzve žadatele k doplnění žádosti. Usnesení o přerušení řízení se doručuje pouze žadateli.</w:t>
      </w:r>
    </w:p>
    <w:p>
      <w:pPr>
        <w:ind w:left="0" w:right="0"/>
      </w:pPr>
      <w:r>
        <w:rPr>
          <w:b/>
          <w:bCs/>
        </w:rPr>
        <w:t xml:space="preserve">(6)</w:t>
      </w:r>
      <w:r>
        <w:rPr/>
        <w:t xml:space="preserve"> Splňuje-li žádost o vydání územního rozhodnutí, včetně dokumentace k žádosti o vydání územního rozhodnutí a dokumentace vlivů záměru na životní prostředí, požadavky právních předpisů a závěru zjišťovacího řízení, stavební úřad při oznámení zahájení územního řízení zveřejní žádost o vydání územního rozhodnutí a připojené dokumentace způsobem umožňujícím dálkový přístup; zveřejňování dokumentace vlivů záměru na životní prostředí na internetu zajistí příslušný úřad podle zvláštního právního předpisu. K projednání žádosti o vydání územního rozhodnutí a připojených dokumentací nařídí stavební úřad veřejné ústní jednání podle § 87 odst. 2. Žadatel je povinen zajistit splnění požadavků podle § 87 odst. 2. Oznámení o zahájení územního řízení a nařízení veřejného ústního jednání a další úkony v řízení se doručují účastníkům řízení uvedeným v § 85 odst. 1 a v § 85 odst. 2 písm. a), dotčeným orgánům, včetně dotčených územních samosprávných celků, které příslušný úřad určí ve zjišťovacím řízení, jednotlivě a účastníkům řízení uvedeným v odstavci 7 a v § 85 odst. 2 písm. b) a c) veřejnou vyhláškou.</w:t>
      </w:r>
    </w:p>
    <w:p>
      <w:pPr>
        <w:ind w:left="0" w:right="0"/>
      </w:pPr>
      <w:r>
        <w:rPr>
          <w:b/>
          <w:bCs/>
        </w:rPr>
        <w:t xml:space="preserve">(7)</w:t>
      </w:r>
      <w:r>
        <w:rPr/>
        <w:t xml:space="preserve"> Účastníky územního řízení, ve kterém jsou posuzovány vlivy záměru na životní prostředí, jsou kromě osob uvedených v § 85 odst. 1 a 2 občanská sdružení nebo obecně prospěšné společnosti, jejichž předmětem je ochrana životního prostředí, veřejného zdraví nebo kulturních památek.</w:t>
      </w:r>
    </w:p>
    <w:p>
      <w:pPr>
        <w:ind w:left="0" w:right="0"/>
      </w:pPr>
      <w:r>
        <w:rPr>
          <w:b/>
          <w:bCs/>
        </w:rPr>
        <w:t xml:space="preserve">(8)</w:t>
      </w:r>
      <w:r>
        <w:rPr/>
        <w:t xml:space="preserve"> Při uplatňování závazných stanovisek, námitek a připomínek se v územním řízení postupuje obdobně podle § 89. Každý může nejpozději při veřejném ústním jednání uplatnit připomínky k dokumentaci vlivů záměru na životní prostředí. Výsledky projednání dokumentace vlivů záměru na životní prostředí předá stavební úřad bezodkladně po jeho ukončení příslušnému úřadu.</w:t>
      </w:r>
    </w:p>
    <w:p>
      <w:pPr>
        <w:ind w:left="0" w:right="0"/>
      </w:pPr>
      <w:r>
        <w:rPr>
          <w:b/>
          <w:bCs/>
        </w:rPr>
        <w:t xml:space="preserve">(9)</w:t>
      </w:r>
      <w:r>
        <w:rPr/>
        <w:t xml:space="preserve"> Příslušný úřad nejdéle do 30 dnů od předání výsledků projednání a připomínek a stanovisek k dokumentaci vlivů záměru na životní prostředí uplatněných při veřejném ústním jednání vydá stanovisko k posouzení vlivů provedení záměru na životní prostředí (dále jen „stanovisko příslušného úřadu“) a předá je stavebnímu úřadu. Nevydá-li příslušný úřad stanovisko ve stanovené lhůtě, vyzve jej stavební úřad k jeho vydání v dodatečné lhůtě, která nesmí být kratší než 15 dnů. Pokud příslušný úřad nevydá stanovisko ani v dodatečné lhůtě, má se za to, že se záměrem souhlasí, a stavební úřad při posouzení záměru podle § 90 přihlédne k dokumentaci vlivů záměru na životní prostředí a k ní uplatněným připomínkám a stanoviskům.</w:t>
      </w:r>
    </w:p>
    <w:p>
      <w:pPr>
        <w:ind w:left="0" w:right="0"/>
      </w:pPr>
      <w:r>
        <w:rPr>
          <w:b/>
          <w:bCs/>
        </w:rPr>
        <w:t xml:space="preserve">(10)</w:t>
      </w:r>
      <w:r>
        <w:rPr/>
        <w:t xml:space="preserve"> Stavební úřad doručí stanovisko příslušného úřadu způsobem podle odstavce 6 a současně i způsobem umožňujícím dálkový přístup a umožní účastníkům řízení, aby se mohli k podkladům pro rozhodnutí vyjádřit ve stanovené lhůtě, která nesmí být kratší než 5 dnů.</w:t>
      </w:r>
    </w:p>
    <w:p>
      <w:pPr>
        <w:ind w:left="0" w:right="0"/>
      </w:pPr>
      <w:r>
        <w:rPr>
          <w:b/>
          <w:bCs/>
        </w:rPr>
        <w:t xml:space="preserve">(11)</w:t>
      </w:r>
      <w:r>
        <w:rPr/>
        <w:t xml:space="preserve"> Stavební úřad při posuzování žádosti o vydání územního rozhodnutí podle § 90 bere v úvahu obsah stanoviska příslušného úřadu. V podmínkách územního rozhodnutí zajistí stavební úřad splnění požadavků vyplývajících ze stanoviska příslušného úřadu, v opačném případě uvede důvody, pro které tak neučinil nebo učinil jen částečně. Územní rozhodnutí se doručuje podle odstavce 6.</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místně příslušnému obecnímu úřadu, pokud není stavebním úřadem, a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w:t>
      </w:r>
    </w:p>
    <w:p>
      <w:pPr>
        <w:pStyle w:val="Heading4"/>
      </w:pPr>
      <w:r>
        <w:rPr>
          <w:b/>
          <w:bCs/>
        </w:rPr>
        <w:t xml:space="preserve">§ 94a</w:t>
      </w:r>
      <w:r>
        <w:rPr>
          <w:rStyle w:val="hidden"/>
        </w:rPr>
        <w:t xml:space="preserve"> -</w:t>
      </w:r>
      <w:br/>
      <w:r>
        <w:rPr/>
        <w:t xml:space="preserve">Společné územní a stavební řízení</w:t>
      </w:r>
    </w:p>
    <w:p>
      <w:pPr>
        <w:ind w:left="0" w:right="0"/>
      </w:pPr>
      <w:r>
        <w:rPr>
          <w:b/>
          <w:bCs/>
        </w:rPr>
        <w:t xml:space="preserve">(1)</w:t>
      </w:r>
      <w:r>
        <w:rPr/>
        <w:t xml:space="preserve"> Podá-li žadatel žádost o vydání společného územního rozhodnutí a stavebního povolení (dále jen „společné rozhodnutí“) a připojí společnou dokumentaci, je zahájeno společné územní a stavební řízení (dále jen „společné řízení“). Společná dokumentace musí splňovat požadavky na dokumentaci pro vydání územního rozhodnutí a požadavky na projektovou dokumentaci pro vydání stavebního povolení. Na obsah žádosti o vydání společného územního rozhodnutí a stavebního povolení se přiměřeně použijí ustanovení o žádosti o vydání územního rozhodnutí a žádosti o stavební povolení. Pokud povaha věci nebo závazné stanovisko dotčeného orgánu společné řízení vylučuje, rozhodne stavební úřad o vyloučení povolení stavby ze společného řízení a stavební řízení přeruší do nabytí právní moci územního rozhodnutí.</w:t>
      </w:r>
    </w:p>
    <w:p>
      <w:pPr>
        <w:ind w:left="0" w:right="0"/>
      </w:pPr>
      <w:r>
        <w:rPr>
          <w:b/>
          <w:bCs/>
        </w:rPr>
        <w:t xml:space="preserve">(2)</w:t>
      </w:r>
      <w:r>
        <w:rPr/>
        <w:t xml:space="preserve"> K projednání žádosti o vydání společného rozhodnutí stavební úřad nařídí ústní jednání, a je-li to účelné, spojí jej s ohledáním na místě; oznámení o konání ústního jednání se doručí nejméně 15 dnů předem. Pro uplatnění závazných stanovisek dotčených orgánů a námitek účastníků společného řízení se použijí § 89 a 114 obdobně. Stavební úřad může upustit od ústního jednání, jsou-li mu dobře známy poměry v území a žádost poskytuje dostatečný podklad pro posouzení záměru. Upustí-li stavební úřad od ústního jednání, stanoví lhůtu, do kdy mohou účastníci řízení uplatnit své námitky a dotčené orgány závazná stanoviska; tato lhůta nesmí být kratší než 15 dnů. Oznámení o zahájení společného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účastníkům řízení uvedeným v § 85 odst. 1 a v § 85 odst. 2 písm. a) a v § 109 odst. 1 písm. a) až d) a dotčeným orgánům jednotlivě.</w:t>
      </w:r>
    </w:p>
    <w:p>
      <w:pPr>
        <w:ind w:left="0" w:right="0"/>
      </w:pPr>
      <w:r>
        <w:rPr>
          <w:b/>
          <w:bCs/>
        </w:rPr>
        <w:t xml:space="preserve">(3)</w:t>
      </w:r>
      <w:r>
        <w:rPr/>
        <w:t xml:space="preserve"> V případech záměrů posuzovaných ve zjišťovacím řízení, nebo pro které bylo vydáno stanovisko k posouzení vlivů provedení záměru na životní prostředí, anebo záměrů umisťovaných v území, ve kterém nebyl vydán územní plán, stavební úřad nařídí k projednání žádosti veřejné ústní jednání a postupuje podle § 87 odst. 2. Pro uplatnění závazných stanovisek dotčených orgánů, námitek účastníků společného řízení a připomínek veřejnosti se použijí § 89 a 114 obdobně.</w:t>
      </w:r>
    </w:p>
    <w:p>
      <w:pPr>
        <w:ind w:left="0" w:right="0"/>
      </w:pPr>
      <w:r>
        <w:rPr>
          <w:b/>
          <w:bCs/>
        </w:rPr>
        <w:t xml:space="preserve">(4)</w:t>
      </w:r>
      <w:r>
        <w:rPr/>
        <w:t xml:space="preserve"> Stavební úřad přezkoumá žádost podle § 90 a 111.</w:t>
      </w:r>
    </w:p>
    <w:p>
      <w:pPr>
        <w:ind w:left="0" w:right="0"/>
      </w:pPr>
      <w:r>
        <w:rPr>
          <w:b/>
          <w:bCs/>
        </w:rPr>
        <w:t xml:space="preserve">(5)</w:t>
      </w:r>
      <w:r>
        <w:rPr/>
        <w:t xml:space="preserve"> Výroková část společného rozhodnutí obsahuje výrok o umístění stavby a výrok o povolení stavby. Výrok o povolení stavby je vykonatelný nabytím právní moci výroku o umístění stavby. Po dni nabytí právní moci výroku o umístění stavby postupuje stavební úřad podle § 92 odst. 4 a po dni nabytí právní moci výroku o povolení stavby podle § 115 odst. 3. Doba platnosti společného rozhodnutí je 2 roky za podmínek § 115 odst. 4. Pro prodloužení platnosti společného rozhodnutí se použije § 115 odst. 4 obdobně.</w:t>
      </w:r>
    </w:p>
    <w:p>
      <w:pPr>
        <w:ind w:left="0" w:right="0"/>
      </w:pPr>
      <w:r>
        <w:rPr>
          <w:b/>
          <w:bCs/>
        </w:rPr>
        <w:t xml:space="preserve">(6)</w:t>
      </w:r>
      <w:r>
        <w:rPr/>
        <w:t xml:space="preserve"> Úkony ve společném řízení a společné rozhodnutí doručuje stavební úřad účastníkům řízení a dotčeným orgánům jednotlivě, nejde-li o řízení s velkým počtem účastníků nebo není nařízeno veřejné ústní jednání; v řízení s velkým počtem účastníků se úkony ve společném řízení a společné rozhodnutí doručují účastníkům řízení uvedeným v § 85 odst. 1 a 2 písm. a) a v § 109 odst. 1 písm. a) až d) a dotčeným orgánům jednotlivě a účastníkům řízení uvedeným v § 85 odst. 2 písm. b) a c) a v § 109 odst. 1 písm. e) až g) veřejnou vyhláškou; v ostatních případech se doručuje dotčeným orgánům a účastníkům řízení jednotlivě.</w:t>
      </w:r>
    </w:p>
    <w:p>
      <w:pPr>
        <w:ind w:left="0" w:right="0"/>
      </w:pPr>
      <w:r>
        <w:rPr>
          <w:b/>
          <w:bCs/>
        </w:rPr>
        <w:t xml:space="preserve">(7)</w:t>
      </w:r>
      <w:r>
        <w:rPr/>
        <w:t xml:space="preserve"> Obsahové náležitosti žádosti o vydání společného rozhodnutí, jejích příloh, společné dokumentace a obsahové náležitosti společného rozhodnutí stanoví prováděcí právní předpis.</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mají společnou hranici s těmito pozemky;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Pokud žádost nesplňuje podmínky pro zjednodušené územní řízení, stavební úřad rozhodne usnesením o provedení územního řízení; toto usnesení se oznamuje pouze žadateli a nelze se proti němu odvolat. Lhůta pro vydání rozhodnutí začíná běžet od právní moci usnesení podle věty první.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o předmětu územního řízení a o veřejném ústním jednání.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posuzovaných ve zjišťovacím řízení, nebo pro které bylo vydáno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Žádost o územní souhlas obsahuje kromě obecných náležitostí údaje o požadovaném záměru a identifikační údaje dotčených pozemků a staveb.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smlouvu nebo doklad o právu provést stavbu nebo opatření k pozemkům nebo stavbám, na kterých má být požadovaný záměr uskutečněn; tyto doklady se připojují, nelze-li tato práva ověřit v katastru nemovitostí dálkovým přístupem; anebo souhlas podle § 86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popřípadě rozhodnutí podle § 169 odst. 3 a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které mají vlastnická nebo jiná věcná práva k pozemkům nebo stavbám na nich a tyto pozemky mají společnou hranici s pozemkem, na kterém má být záměr uskutečněn;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žádost o územní souhlas úplná a je-li záměr v souladu s požadavky uvedenými v § 90, vydá stavební úřad územní souhlas do 30 dnů ode dne podání žádosti. Žádost o územní souhlas se neprojednává v územním řízení podle § 87. O námitkách osob podle odstavce 3 písm. d) se nerozhoduje. Na vydávání územního souhlasu se nevztahují části druhá a třetí správního řádu. Územní souhlas obsahuje identifikační údaje o žadateli, popis záměru, identifikační údaje o pozemku nebo stavbě, na nichž bude záměr uskutečněn, podmínky pro provedení záměru a pro zpracování projektové dokumentace. Ustanovení § 92 odst. 1 se použije přiměřeně. Územní souhlas nabývá právních účinků dnem doručení žadateli.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Územní souhlas se doručuje žadateli spolu s ověřeným situačním výkresem; s vyznačením účinnosti se doručuje osobám uvedeným v odstavci 3 písm. d), dotčeným orgánům a místně příslušnému obecnímu úřadu, pokud není stavebním úřadem, a jde-li o stavbu podle § 15 nebo 16, také stavebnímu úřadu příslušnému k povolení stavby.</w:t>
      </w:r>
    </w:p>
    <w:p>
      <w:pPr>
        <w:ind w:left="0" w:right="0"/>
      </w:pPr>
      <w:r>
        <w:rPr>
          <w:b/>
          <w:bCs/>
        </w:rPr>
        <w:t xml:space="preserve">(5)</w:t>
      </w:r>
      <w:r>
        <w:rPr/>
        <w:t xml:space="preserve"> Dojde-li stavební úřad k závěru, že žádost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žadateli a nelze se proti němu odvolat. Žádost o územní souhlas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 104 odst. 1 písm. a) až e) zpracována projektantem. Lhůta pro vydání územního rozhodnutí začíná běžet od právní moci usnesení podle věty první.</w:t>
      </w:r>
    </w:p>
    <w:p>
      <w:pPr>
        <w:ind w:left="0" w:right="0"/>
      </w:pPr>
      <w:r>
        <w:rPr>
          <w:b/>
          <w:bCs/>
        </w:rPr>
        <w:t xml:space="preserve">(6)</w:t>
      </w:r>
      <w:r>
        <w:rPr/>
        <w:t xml:space="preserve"> Dojde-li ke zrušení územního souhlasu po povolení stavby, územní souhlas ani územní rozhodnutí se již nevydává.</w:t>
      </w:r>
    </w:p>
    <w:p>
      <w:pPr>
        <w:ind w:left="0" w:right="0"/>
      </w:pPr>
      <w:r>
        <w:rPr>
          <w:b/>
          <w:bCs/>
        </w:rPr>
        <w:t xml:space="preserve">(7)</w:t>
      </w:r>
      <w:r>
        <w:rPr/>
        <w:t xml:space="preserve"> Územní souhlas platí 2 roky ode dne jeho vydání. Dobu platnosti územního souhlasu nelze prodloužit.</w:t>
      </w:r>
    </w:p>
    <w:p>
      <w:pPr>
        <w:ind w:left="0" w:right="0"/>
      </w:pPr>
      <w:r>
        <w:rPr>
          <w:b/>
          <w:bCs/>
        </w:rPr>
        <w:t xml:space="preserve">(8)</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(9)</w:t>
      </w:r>
      <w:r>
        <w:rPr/>
        <w:t xml:space="preserve"> Územní souhlas pozbývá platnosti dnem, kdy stavební úřad obdržel sdělení žadatele, že upustil od záměru, ke kterému se územní souhlas vztahuje; to neplatí, byla-li realizace záměru již zahájena. Územní souhlas lze změnit na žádost oprávněného územním souhlasem nebo územním rozhodnutím za podmínek § 94 odst. 1 a změnit nebo zrušit za podmínek § 94 odst. 3.</w:t>
      </w:r>
    </w:p>
    <w:p>
      <w:pPr>
        <w:ind w:left="0" w:right="0"/>
      </w:pPr>
      <w:r>
        <w:rPr>
          <w:b/>
          <w:bCs/>
        </w:rPr>
        <w:t xml:space="preserve">(10)</w:t>
      </w:r>
      <w:r>
        <w:rPr/>
        <w:t xml:space="preserve"> Obsahové náležitosti žádosti o územní souhlas a jejích příloh a obsahové náležitosti územního souhlasu a jeho příloh stanoví prováděcí právní předpis.</w:t>
      </w:r>
    </w:p>
    <w:p>
      <w:pPr>
        <w:pStyle w:val="Heading4"/>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Podá-li stavebník současně žádost o územní souhlas podle § 96 odst. 3 a ohlášení stavebního záměru podle § 105, které splňují požadavky § 96 a 105, vydá stavební úřad společný územní souhlas a souhlas s provedením ohlášeného stavebního záměru (dále jen „společný souhlas“).</w:t>
      </w:r>
    </w:p>
    <w:p>
      <w:pPr>
        <w:ind w:left="0" w:right="0"/>
      </w:pPr>
      <w:r>
        <w:rPr>
          <w:b/>
          <w:bCs/>
        </w:rPr>
        <w:t xml:space="preserve">(2)</w:t>
      </w:r>
      <w:r>
        <w:rPr/>
        <w:t xml:space="preserve"> Stavební úřad při posuzování žádosti o územní souhlas a ohlášení stavebního záměru postupuje podle § 96 odst. 4 s přihlédnutím k § 106.</w:t>
      </w:r>
    </w:p>
    <w:p>
      <w:pPr>
        <w:ind w:left="0" w:right="0"/>
      </w:pPr>
      <w:r>
        <w:rPr>
          <w:b/>
          <w:bCs/>
        </w:rPr>
        <w:t xml:space="preserve">(3)</w:t>
      </w:r>
      <w:r>
        <w:rPr/>
        <w:t xml:space="preserve"> Stavebník může ohlášený stavební záměr podle § 104 odst. 1 a 2 provést na základě společného souhlasu. Společný souhlas se doručuje stavebníkovi. Současně se společný souhlas doručí dotčeným orgánům, osobám uvedeným v § 96 odst. 3 písm. d) a v § 105 odst. 1 písm. f) a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w:t>
      </w:r>
    </w:p>
    <w:p>
      <w:pPr>
        <w:ind w:left="0" w:right="0"/>
      </w:pPr>
      <w:r>
        <w:rPr>
          <w:b/>
          <w:bCs/>
        </w:rPr>
        <w:t xml:space="preserve">(4)</w:t>
      </w:r>
      <w:r>
        <w:rPr/>
        <w:t xml:space="preserve"> Dojde-li stavební úřad k závěru, že žádost o územní souhlas nebo ohlášení stavebního záměru nesplňuje podmínky pro vydání územního souhlasu nebo souhlasu s provedením ohlášeného stavebního záměru, nebo mohou být přímo dotčena práva dalších osob kromě osob uvedených v § 96 odst. 3 písm. d), postupuje podle § 96 odst. 5. Podané ohlášení stavebního záměru nemá v tomto případě právní účinky, což stavební úřad stavebníkovi sdělí.</w:t>
      </w:r>
    </w:p>
    <w:p>
      <w:pPr>
        <w:ind w:left="0" w:right="0"/>
      </w:pPr>
      <w:r>
        <w:rPr>
          <w:b/>
          <w:bCs/>
        </w:rPr>
        <w:t xml:space="preserve">(5)</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9"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příslušnému katastrálnímu úřadu k záznamu předkupního práva do katastru nemovitostí a Úřadu pro zastupování státu ve věcech majetkových.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nebo kraj, jejichž orgány vydaly územní opatření o stavební uzávěře, vydaly územně plánovací dokumentaci nebo její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nebo kraj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jaderná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300 m</w:t>
      </w:r>
      <w:r>
        <w:rPr>
          <w:vertAlign w:val="superscript"/>
        </w:rPr>
        <w:t xml:space="preserve">2</w:t>
      </w:r>
      <w:r>
        <w:rPr/>
        <w:t xml:space="preserve"> zastavěné plochy a 7 m výšky, nepodsklepené, s výjimkou staveb pro ustájení zvířat či chovatelství, a zemědělských staveb,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podzemní a nadzemní vedení přenosové nebo distribuční soustavy elektřiny</w:t>
      </w:r>
      <w:r>
        <w:rPr>
          <w:vertAlign w:val="superscript"/>
        </w:rPr>
        <w:t xml:space="preserve">61</w:t>
      </w:r>
      <w:r>
        <w:rPr/>
        <w:t xml:space="preserve">) včetně podpěrných bodů a systémů měřicí, ochranné,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vedení přepravní nebo distribuční soustavy plynu</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rozvody tepelné energie</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stavby pro výrobu energie s celkovým instalovaným výkonem do 20 kW s výjimkou stavby vodního díla;</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vodovodní, kanalizační a energetické přípojky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vyžadující ohlášení</w:t>
      </w:r>
    </w:p>
    <w:p>
      <w:pPr>
        <w:ind w:left="0" w:right="0"/>
      </w:pPr>
      <w:r>
        <w:rPr>
          <w:b/>
          <w:bCs/>
        </w:rPr>
        <w:t xml:space="preserve">(1)</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do 150 m</w:t>
      </w:r>
      <w:r>
        <w:rPr>
          <w:vertAlign w:val="superscript"/>
        </w:rPr>
        <w:t xml:space="preserve">2</w:t>
      </w:r>
      <w:r>
        <w:rPr/>
        <w:t xml:space="preserve"> celkové zastavěné plochy,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 16 odst. 2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50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e)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0" w:right="0"/>
      </w:pPr>
      <w:r>
        <w:rPr>
          <w:b/>
          <w:bCs/>
        </w:rPr>
        <w:t xml:space="preserve">(2)</w:t>
      </w:r>
      <w:r>
        <w:rPr/>
        <w:t xml:space="preserve"> Ohlášení vyžadují změny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prokazující vlastnické právo nebo právo založené smlouvou provést stavební záměr anebo právo odpovídající věcnému břemenu k pozemku či stavbě,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souhlasná závazná stanoviska, popřípadě souhlasná rozhodnutí dotčených orgánů, jsou-li vyžadována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mají vlastnická práva nebo práva odpovídající věcnému břemenu k pozemkům, které mají společnou hranici s pozemkem, na kterém má být stavební záměr uskutečněn; souhlas s navrhovaným stavebním záměrem musí být vyznačen na situačním výkresu.</w:t>
      </w:r>
    </w:p>
    <w:p>
      <w:pPr>
        <w:ind w:left="0" w:right="0"/>
      </w:pPr>
      <w:r>
        <w:rPr>
          <w:b/>
          <w:bCs/>
        </w:rPr>
        <w:t xml:space="preserve">(2)</w:t>
      </w:r>
      <w:r>
        <w:rPr/>
        <w:t xml:space="preserve"> K ohlášení stavby podle § 104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situaci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zásady organizace výstavby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dokumentaci objektů.</w:t>
      </w:r>
    </w:p>
    <w:p>
      <w:pPr>
        <w:ind w:left="0" w:right="0"/>
      </w:pPr>
      <w:r>
        <w:rPr>
          <w:b/>
          <w:bCs/>
        </w:rPr>
        <w:t xml:space="preserve">(3)</w:t>
      </w:r>
      <w:r>
        <w:rPr/>
        <w:t xml:space="preserve"> K ohlášení staveb odstavných, manipulačních, prodejních, skladových nebo výstavních ploch podle § 104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(4)</w:t>
      </w:r>
      <w:r>
        <w:rPr/>
        <w:t xml:space="preserve"> K ohlášení staveb zařízení staveniště podle § 104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(5)</w:t>
      </w:r>
      <w:r>
        <w:rPr/>
        <w:t xml:space="preserve"> K ohlášení staveb opěrných zdí podle § 104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(6)</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(7)</w:t>
      </w:r>
      <w:r>
        <w:rPr/>
        <w:t xml:space="preserve"> K ohlášení udržovacích prací podle § 104 odst. 1 písm. j) stavebník připojí dokumentaci obsahující technický popis jejich provedení. K ohlášení stavebních úprav podle § 104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p>
    <w:p>
      <w:pPr>
        <w:ind w:left="0" w:right="0"/>
      </w:pPr>
      <w:r>
        <w:rPr>
          <w:b/>
          <w:bCs/>
        </w:rPr>
        <w:t xml:space="preserve">(8)</w:t>
      </w:r>
      <w:r>
        <w:rPr/>
        <w:t xml:space="preserve"> Náležitosti ohlášení a obsah a rozsah projektové dokumentace u staveb uvedených v § 104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 104 odst. 1 písm. a) až i), nebo s územně plánovací dokumentací, jde-li o stavební úpravu podle § 104 odst. 1 písm. k) nebo není přímo dotčeno vlastnické právo nebo právo vyplývající z věcného břemene dalších osob, ledaže by s tím tyto osoby vyslovily souhlas,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nabývá právních účinků dnem doručení stavebníkovi. Souhlas se dále doručí osobám uvedeným v § 105 odst. 1 písm. f),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w:t>
      </w:r>
    </w:p>
    <w:p>
      <w:pPr>
        <w:ind w:left="0" w:right="0"/>
      </w:pPr>
      <w:r>
        <w:rPr>
          <w:b/>
          <w:bCs/>
        </w:rPr>
        <w:t xml:space="preserve">(2)</w:t>
      </w:r>
      <w:r>
        <w:rPr/>
        <w:t xml:space="preserve"> Stavební řízení je zahájeno dnem podání ohlášení; podané ohlášení se považuje za žádost o stavební povolení. Pokud je to pro posouzení stavebního záměru nezbytné, vyzve stavební úřad stavebníka k doplnění žádosti, maximálně však v rozsahu jako k žádosti o stavební povolení. Lhůta pro vydání rozhodnutí začíná běžet od právní moci usnesení podle odstavce 1.</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 104,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posoudí jako ohlášení a postupuje podle § 105 až 107, což stavebníkovi sdělí.</w:t>
      </w:r>
    </w:p>
    <w:p>
      <w:pPr>
        <w:pStyle w:val="Heading4"/>
      </w:pPr>
      <w:r>
        <w:rPr>
          <w:b/>
          <w:bCs/>
        </w:rPr>
        <w:t xml:space="preserve">§ 109</w:t>
      </w:r>
    </w:p>
    <w:p>
      <w:pPr>
        <w:ind w:left="0" w:right="0"/>
      </w:pPr>
      <w:r>
        <w:rPr/>
        <w:t xml:space="preserve">Účastníkem stavebního řízení je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osoba, o které tak stanoví zvláštní právní předpis, pokud mohou být stavebním povolením dotčeny veřejné zájmy chráněné podle zvláštních právních předpisů a o těchto věcech nebylo rozhodnuto v územním rozhodnutí.</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nelze tato práva ověřit v katastru nemovitostí dálkovým přístupem, a je-li stavebníkem společenství vlastníků jednotek, také smlouvu o výstavbě nebo rozhodnutí shromáždění vlastníků jednotek přijaté podle zvláštního právního předpisu (dále jen „doklad o 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 která obsahuje průvodní zprávu, souhrnnou technickou zprávu, situaci stavby, dokladovou část, zásady organizace výstavby a dokumentaci objektů,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 a případně plán provedení kontroly spolehlivosti konstrukcí stavby z hlediska jejich budoucího využití zpracovaný nezávislým expertem na náklady stavebníka,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rozhodnutí dotčených orgánů nebo jiné doklady vyžadované zvláštními právními předpisy</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stanoviska vlastníků veřejné dopravní a technické infrastruktury k možnosti a způsobu napojení nebo k podmínkám dotčených ochranných a bezpečnostních pásem.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 usnesení o zastavení řízení se doručuje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nebylo-li ve věci vydáno územní rozhodnutí nebo územní opatření, popřípadě nebyl-li vydán územní souhlas, územním rozhodnutím nebo veřejnoprávní smlouvou územní rozhodnutí nahrazující anebo územním souhlasem, popřípadě s regulačním plánem v rozsahu, ve kterém nahrazuje územní rozhodnutí,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doručuje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do 60 dnů ode dne zahájení stavebního řízení; ve zvlášť složitých případech stavební úřad rozhodne nejdéle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Účastník řízení ve svých námitkách uvede skutečnosti, které zakládají jeho postavení jako účastníka řízení, a důvody podání námitek; k námitkám, které překračují rozsah uvedený ve větě první, se nepřihlíží.</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Oznámení stavebního záměru s certifikátem autorizovaného inspektora</w:t>
      </w:r>
    </w:p>
    <w:p>
      <w:pPr>
        <w:pStyle w:val="Heading4"/>
      </w:pPr>
      <w:r>
        <w:rPr>
          <w:b/>
          <w:bCs/>
        </w:rPr>
        <w:t xml:space="preserve">§ 117</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o které tak rozhodl stavební úřad v územním rozhodnutí v případech významných vlivů na životní prostředí nebo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 109 písm. g).</w:t>
      </w:r>
    </w:p>
    <w:p>
      <w:pPr>
        <w:ind w:left="0" w:right="0"/>
      </w:pPr>
      <w:r>
        <w:rPr>
          <w:b/>
          <w:bCs/>
        </w:rPr>
        <w:t xml:space="preserve">(4)</w:t>
      </w:r>
      <w:r>
        <w:rPr/>
        <w:t xml:space="preserve"> Stavební úřad vyvěsí bez zbytečného odkladu na úřední desce oznámení stavebního záměru po dobu nejméně 30 dnů a osobám, které by jinak byly účastníky stavebního řízení, umožní nahlížet do podkladů připojených k oznámení stavebního záměru včetně certifikátu. Ve lhůtě 30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w:t>
      </w:r>
    </w:p>
    <w:p>
      <w:pPr>
        <w:ind w:left="0" w:right="0"/>
      </w:pPr>
      <w:r>
        <w:rPr/>
        <w:t xml:space="preserve">Rozhodnutí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stavebního záměru podle § 106, stavební povolení podle § 115, veřejnoprávní smlouva podle § 116, oznámený vznik oprávnění podle § 117, opakované stavební povolení a dodatečné povolení stavby podle § 129, územní rozhodnutí, ve kterém stavební úřad podle § 78 odst. 6 stanovil, že k provedení stavby nebude vyžadovat ohlášení nebo územní rozhodnutí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spojeném řízení, ustanovení § 94 a 94a se použijí přiměřeně.</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e) bodech 4 až 8, nebo stavbu, popřípadě část stavby schopnou samostatného užívání, pokud vyžadovala stavební povolení nebo ohlášení stavebnímu úřadu podle § 104 odst. 1 písm. a) až d) a k), nebo stavby ohlašované podle zvláštního právního předpisu</w:t>
      </w:r>
      <w:r>
        <w:rPr>
          <w:vertAlign w:val="superscript"/>
        </w:rPr>
        <w:t xml:space="preserve">65</w:t>
      </w:r>
      <w:r>
        <w:rPr/>
        <w:t xml:space="preserve">) anebo byla prováděna na podkladě veřejnoprávní smlouvy podle § 116 nebo certifikátu autorizovaného inspektora podle § 117, byla dokončována podle opakovaného stavebního povolení nebo dodatečného povolení stavby podle § 129 lze užívat na základě oznámení stavebnímu úřadu (§ 120) nebo kolaudačního souhlasu.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Stavební úřad při uvádění stavby do užívání zkoumá, zda stavba byla provedena v souladu s rozhodnutím o umístění nebo jiným úkonem nahrazujícím územní rozhodnutí a povolením stavby a dokumentací, nebo ověřenou projektovou dokumentací, v souladu se stanovisky nebo závaznými stanovisky, popřípadě rozhodnutími dotčených orgánů, byla-li vydána podle zvláštních právních předpisů, a zda jsou dodrženy obecné požadavky na výstavbu. Dále zkoumá, zda skutečné provedení stavby nebo její užívání nebude ohrožovat život a veřejné zdraví, život nebo zdraví zvířat, bezpečnost anebo životní prostředí.</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 122. V oznámení stavebník uvede označení stavby, údaje o umístění a povolení stavby, předpokládaný termín dokončení stavby a zahájení jejího užívání. S užíváním stavby pro účel, k němuž byla stavba povolena, může být započato následující den po kontrolní prohlídce stavby, při které stavební úřad do protokolu zaznamená ověření splnění podmínek podle § 119 odst. 2, nebo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podle § 119 odst. 2.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Na požádání stavebníka stavební úřad vyznačí datum vzniku práva užívat stavbu na kopii oznámení. Dále uvede označení stavebního úřadu, číslo jednací, datum vyznačení, otisk úředního razítka, jméno a příjmení oprávněné úřední osoby a její podpis.</w:t>
      </w:r>
    </w:p>
    <w:p>
      <w:pPr>
        <w:ind w:left="0" w:right="0"/>
      </w:pPr>
      <w:r>
        <w:rPr>
          <w:b/>
          <w:bCs/>
        </w:rPr>
        <w:t xml:space="preserve">(6)</w:t>
      </w:r>
      <w:r>
        <w:rPr/>
        <w:t xml:space="preserve"> Náležitosti oznámení podle odstavce 1 stanoví prováděcí právní předpis.</w:t>
      </w:r>
    </w:p>
    <w:p>
      <w:pPr>
        <w:pStyle w:val="Heading4"/>
      </w:pPr>
      <w:r>
        <w:rPr>
          <w:b/>
          <w:bCs/>
        </w:rPr>
        <w:t xml:space="preserve">§ 121</w:t>
      </w:r>
    </w:p>
    <w:p>
      <w:pPr>
        <w:ind w:left="0" w:right="0"/>
      </w:pPr>
      <w:r>
        <w:rPr>
          <w:b/>
          <w:bCs/>
        </w:rPr>
        <w:t xml:space="preserve">(1)</w:t>
      </w:r>
      <w:r>
        <w:rPr/>
        <w:t xml:space="preserve"> Stavebník předloží stavebnímu úřadu spolu s oznámením o užívání stavby podle § 120 odst. 1, popřípadě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60 dnů ode dne doručení žádosti o vydání kolaudačního souhlasu.</w:t>
      </w:r>
    </w:p>
    <w:p>
      <w:pPr>
        <w:ind w:left="0" w:right="0"/>
      </w:pPr>
      <w:r>
        <w:rPr>
          <w:b/>
          <w:bCs/>
        </w:rPr>
        <w:t xml:space="preserve">(3)</w:t>
      </w:r>
      <w:r>
        <w:rPr/>
        <w:t xml:space="preserve"> Při závěrečné kontrolní prohlídce stavební úřad zkoumá splnění podmínek podle § 119 odst. 2. Jestliže stavební úřad nezjistí závady bránící bezpečnému užívání stavby nebo rozpor s podmínkami § 119 odst. 2, vydá do 15 dnů ode dne provedení závěrečné kontrolní prohlídky kolaudační souhlas, který je dokladem o povoleném účelu užívání stavby.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Jsou-li na stavbě zjištěny závady bránící jejímu bezpečnému užívání nebo rozpor s podmínkami § 119 odst. 2,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obsah a strukturu certifikátu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w:t>
      </w:r>
      <w:r>
        <w:rPr/>
        <w:t xml:space="preserve">§ 122</w:t>
      </w:r>
      <w:r>
        <w:rPr/>
        <w:t xml:space="preserve">, popřípadě podle </w:t>
      </w:r>
      <w:r>
        <w:rPr/>
        <w:t xml:space="preserve">§ 120</w:t>
      </w:r>
      <w:r>
        <w:rPr/>
        <w:t xml:space="preserve"> nebo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 oznámením o užívání stavby podle § 120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 104 až 117. V ohlášení nebo v žádosti o stavební povolení nebo v oznámení podle § 117 se současně uvede navrhovaná změna v užívání. Po dokončení změny stavby se podle okolností postupuje podle § 120 nebo 122; v oznámení užívání nebo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w:t>
      </w:r>
    </w:p>
    <w:p>
      <w:pPr>
        <w:ind w:left="0" w:right="0"/>
      </w:pPr>
      <w:r>
        <w:rPr>
          <w:b/>
          <w:bCs/>
        </w:rPr>
        <w:t xml:space="preserve">(2)</w:t>
      </w:r>
      <w:r>
        <w:rPr/>
        <w:t xml:space="preserve"> Je-li oznámení úplné a oznámená změna v účelu užívání splňuje podmínky podle § 126 odst. 3, nedotýká se práv třetích osob,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Lhůta pro vydání rozhodnutí začíná běžet od právní moci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e)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 104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dnem podání ohlášení. Lhůta pro vydání rozhodnutí začíná běžet od právní moci usnesení podle věty první.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nebo opatření nebo jiného úkonu vyžadovaného stavebním zákonem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v přezkumném řízení nebo rozhodnutím soudu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 104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ohlášení, žadatel předloží podklady předepsané k ohlášení.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 104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 104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 staveb uvedených v písmenech a) až d) před jejím dokončením podle § 118,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staveb uvedených v písmenech a) až e)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vodního díla k ohlášení podle § 15a odst. 2 písm. c)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 104 odst. 1 písm. f) až i) a k)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0"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na kterou se vztahuje povinnost oznámení podle § 120 odst. 1, bez zajištění zkoušek nebo měření a jejich vyhodnocení,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užívá stavbu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užívá stavbu v rozporu s kolaudačním rozhodnutím,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kolaudačním rozhodnutím,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užívá stavbu v rozporu s kolaudačním souhlasem,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změnu stavby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změnu stavby v rozporu s kolaudačním souhlasem,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užívá stavbu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užívá stavbu v rozporu s oznámením stavebníka podle § 120 odst. 1,</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užívá změnu stavby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užívá změnu stavby v rozporu s oznámením stavebníka podle § 120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užívá stavbu nebo terénní úpravy uvedené v § 104 odst. 1 písm. e) až i) provedené bez souhlasu nebo povolení stavebního úřadu,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užívá stavbu v rozporu se souhlasem stavebního úřadu podle § 127 odst. 2 nebo povolením podle § 127 odst. 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užívá stavbu v rozporu s povolením k předčasnému užívání stavby podle § 123,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odstraní stavbu v rozporu se souhlasem nebo povolením stavebního úřadu podle § 128,</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rozporu s § 158 provádí vybrané činnosti ve výstavbě bez oprávnění podle zvláštního právního předpisu</w:t>
      </w:r>
      <w:r>
        <w:rPr>
          <w:vertAlign w:val="superscript"/>
        </w:rPr>
        <w:t xml:space="preserve">14</w:t>
      </w:r>
      <w:r>
        <w:rPr/>
        <w:t xml:space="preserve">), nebo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v rozporu s § 171 odst. 3 nezjedná nápravu ve lhůtě stanovené ve výzvě nebo rozhodnutí stavebního úřadu.</w:t>
      </w:r>
    </w:p>
    <w:p>
      <w:pPr>
        <w:ind w:left="0" w:right="0"/>
      </w:pPr>
      <w:r>
        <w:rPr>
          <w:b/>
          <w:bCs/>
        </w:rPr>
        <w:t xml:space="preserve">(2)</w:t>
      </w:r>
      <w:r>
        <w:rPr/>
        <w:t xml:space="preserve">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nebo její změnu,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nebo její změnu,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nebo její změnu,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její změnu bez stavebního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nebo její změnu v rozporu se stavebním povolením nebo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nebo její změnu v rozporu se souhlasem stavebního úřadu, stavebním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j) nebo n)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h), i), k), l), m), o), p), q), s), t), u) nebo w)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r), v), x), y) nebo z) nebo odstavce 2 písm. a), b), i), j), k), l), n) nebo o).</w:t>
      </w:r>
    </w:p>
    <w:p>
      <w:pPr>
        <w:pStyle w:val="Heading4"/>
      </w:pPr>
      <w:r>
        <w:rPr>
          <w:b/>
          <w:bCs/>
        </w:rPr>
        <w:t xml:space="preserve">§ 179</w:t>
      </w:r>
    </w:p>
    <w:p>
      <w:pPr>
        <w:ind w:left="0" w:right="0"/>
      </w:pPr>
      <w:r>
        <w:rPr>
          <w:b/>
          <w:bCs/>
        </w:rPr>
        <w:t xml:space="preserve">(1)</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(2)</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(3)</w:t>
      </w:r>
      <w:r>
        <w:rPr/>
        <w:t xml:space="preserve">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(4)</w:t>
      </w:r>
      <w:r>
        <w:rPr/>
        <w:t xml:space="preserve">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(5)</w:t>
      </w:r>
      <w:r>
        <w:rPr/>
        <w:t xml:space="preserve">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 nebo 4.</w:t>
      </w:r>
    </w:p>
    <w:p>
      <w:pPr>
        <w:ind w:left="0" w:right="0"/>
      </w:pPr>
      <w:r>
        <w:rPr>
          <w:b/>
          <w:bCs/>
        </w:rPr>
        <w:t xml:space="preserve">(6)</w:t>
      </w:r>
      <w:r>
        <w:rPr/>
        <w:t xml:space="preserve"> Fyzická osoba se jako autorizovaný inspektor dopustí přestupku tím, že v rozporu s § 155 poruší oznamovací povinnost nebo nesplní povinnost podle § 117 odst. 1.</w:t>
      </w:r>
    </w:p>
    <w:p>
      <w:pPr>
        <w:ind w:left="0" w:right="0"/>
      </w:pPr>
      <w:r>
        <w:rPr>
          <w:b/>
          <w:bCs/>
        </w:rPr>
        <w:t xml:space="preserve">(7)</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3 písm. b), f), g), h) nebo i) nebo podle odstavce 4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b) nebo c) nebo podle odstavce 2 písm. a), b) nebo c) nebo podle odstavce 3 písm. a), c), d), e), j) nebo k) nebo podle odstavce 4 písm. b), c), f) nebo g) nebo podle odstavce 5 nebo 6.</w:t>
      </w:r>
    </w:p>
    <w:p>
      <w:pPr>
        <w:ind w:left="0" w:right="0"/>
      </w:pPr>
      <w:r>
        <w:rPr>
          <w:b/>
          <w:bCs/>
        </w:rPr>
        <w:t xml:space="preserve">(8)</w:t>
      </w:r>
      <w:r>
        <w:rPr/>
        <w:t xml:space="preserve"> Za přestupek lze v blokovém řízení uložit pokutu do 5 000 Kč, v příkazním řízení do 10 000 Kč.</w:t>
      </w:r>
    </w:p>
    <w:p>
      <w:pPr>
        <w:pStyle w:val="Heading4"/>
      </w:pPr>
      <w:r>
        <w:rPr>
          <w:b/>
          <w:bCs/>
        </w:rPr>
        <w:t xml:space="preserve">Správní delikty právnických osob a podnikajících fyzických osob</w:t>
      </w:r>
    </w:p>
    <w:p>
      <w:pPr>
        <w:pStyle w:val="Heading3"/>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na kterou se vztahuje povinnost oznámení podle § 120 odst. 1, bez zajištění zkoušek nebo měření a jejich vyhodnocení,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užívá stavbu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užívá stavbu v rozporu s kolaudačním rozhodnutím,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kolaudačním rozhodnutím,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užívá stavbu v rozporu s kolaudačním souhlasem,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změnu stavby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změnu stavby v rozporu s kolaudačním souhlasem,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užívá stavbu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užívá stavbu v rozporu s oznámením stavebníka podle § 120,</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užívá změnu stavby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užívá změnu stavby v rozporu s oznámením stavebníka podle § 120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užívá stavbu nebo terénní úpravy podle § 104 odst. 1 písm. e) až i) provedené bez souhlasu nebo povolení stavebního úřadu,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užívá stavbu v rozporu se souhlasem stavebního úřadu podle § 127 odst. 2 nebo povolením podle § 127 odst. 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užívá stavbu v rozporu s povolením k předčasnému užívání stavby podle § 123,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rozporu s § 171 odst. 3 nezjedná nápravu ve lhůtě stanovené ve výzvě nebo rozhodnutí stavebního úřadu.</w:t>
      </w:r>
    </w:p>
    <w:p>
      <w:pPr>
        <w:ind w:left="0" w:right="0"/>
      </w:pPr>
      <w:r>
        <w:rPr>
          <w:b/>
          <w:bCs/>
        </w:rPr>
        <w:t xml:space="preserve">(2)</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nebo její změnu,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nebo její změnu,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nebo její změnu,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její změnu bez stavebního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nebo její změnu v rozporu se stavebním povolením nebo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nebo její změnu v rozporu se souhlasem stavebního úřadu, stavebním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správní delikt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správní delikt podle odstavce 1 písm. f), j) nebo n) nebo podle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správní delikt podle odstavce 1 písm. a), d), g), h), i), k), l), m), o), p), q), s), t), u) nebo w) nebo podle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delikt podle odstavce 1 písm. b), c), e), r), v), x) nebo y) nebo podle odstavce 2 písm. a), b), i), j), k), l), n) nebo o).</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104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Právnická osoba se jako vlastník stavby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(3)</w:t>
      </w:r>
      <w:r>
        <w:rPr/>
        <w:t xml:space="preserve"> Právnická osoba se jako vlastník zařízení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(4)</w:t>
      </w:r>
      <w:r>
        <w:rPr/>
        <w:t xml:space="preserve"> Právnická nebo podnikající fyzická osoba se jako vlastník technické infrastruktury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 nebo 4.</w:t>
      </w:r>
    </w:p>
    <w:p>
      <w:pPr>
        <w:ind w:left="0" w:right="0"/>
      </w:pPr>
      <w:r>
        <w:rPr>
          <w:b/>
          <w:bCs/>
        </w:rPr>
        <w:t xml:space="preserve">(5)</w:t>
      </w:r>
      <w:r>
        <w:rPr/>
        <w:t xml:space="preserve"> Právnická nebo podnikající fyzická osoba se jako autorizovaný inspektor dopustí správního deliktu tím, že poruší některou z povinností podle § 155 nebo nesplní povinnost podle § 117 odst. 1.</w:t>
      </w:r>
    </w:p>
    <w:p>
      <w:pPr>
        <w:ind w:left="0" w:right="0"/>
      </w:pPr>
      <w:r>
        <w:rPr>
          <w:b/>
          <w:bCs/>
        </w:rPr>
        <w:t xml:space="preserve">(6)</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správní delikt podle odstavce 1 písm. b), c), d) nebo f) nebo odstavce 2 písm. b), f), g), h) nebo i) nebo odstavce 3 písm. a), d) nebo e) nebo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správní delikt podle odstavce 1 písm. a) nebo e) nebo odstavce 2 písm. a), c), d), e), j) nebo k) nebo odstavce 3 písm. b), c), f) nebo g) nebo odstavce 5.</w:t>
      </w:r>
    </w:p>
    <w:p>
      <w:pPr>
        <w:pStyle w:val="Heading3"/>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 13, 15 a 16; správní delikt podle § 181 odst. 4 písm. b) v prvním stupni projednává stavební úřad příslušný podle § 13 odst. 1 písm. c) zákona.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3"/>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zrušen zákonem č. </w:t>
      </w:r>
      <w:hyperlink r:id="rId11" w:history="1">
        <w:r>
          <w:rPr>
            <w:color w:val="darkblue"/>
            <w:u w:val="single"/>
          </w:rPr>
          <w:t xml:space="preserve">281/2009 Sb.</w:t>
        </w:r>
      </w:hyperlink>
      <w:r>
        <w:rPr/>
        <w:t xml:space="preserve"> (účinnost: 1. ledna 2011)</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2020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 14 odst. 2, § 21 odst. 4, § 26 odst. 2, § 29 odst. 1 a 3, § 36 odst. 6, § 40 odst. 4, § 42 odst. 8, § 43 odst. 6, § 47 odst. 6, § 50 odst. 1, § 55 odst. 6, § 61 odst. 5, § 64 odst. 7, § 66 odst. 6, § 78a odst. 10, § 86 odst. 7, § 87 odst. 5, § 92 odst. 5, § 94a odst. 7, § 95 odst. 7, § 96 odst. 10, § 99 odst. 2, § 100 odst. 3, § 105 odst. 8, § 110 odst. 5, § 115 odst. 6, § 116 odst. 8, § 117 odst. 8, § 120 odst. 6, § 122 odst. 6, § 123 odst. 5, § 125 odst. 6, § 127 odst. 6, § 128 odst. 8, § 134 odst. 6, § 138 odst. 5, § 143 odst. 5, § 150 odst. 3, § 155 odst. 2, § 157 odst. 4 a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přírodní radionuklidy a pro stavby náležející k provozním celkům, jejichž součástí je jaderné zařízení</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3"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4"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5" w:history="1">
        <w:r>
          <w:rPr>
            <w:color w:val="darkblue"/>
            <w:u w:val="single"/>
          </w:rPr>
          <w:t xml:space="preserve">262/1992 Sb.</w:t>
        </w:r>
      </w:hyperlink>
      <w:r>
        <w:rPr/>
        <w:t xml:space="preserve">, kterým se mění a doplňuje zákon č. </w:t>
      </w:r>
      <w:hyperlink r:id="rId14" w:history="1">
        <w:r>
          <w:rPr>
            <w:color w:val="darkblue"/>
            <w:u w:val="single"/>
          </w:rPr>
          <w:t xml:space="preserve">50/1976 Sb.</w:t>
        </w:r>
      </w:hyperlink>
      <w:r>
        <w:rPr/>
        <w:t xml:space="preserve">, o územním plánování a stavebním řádu (stavební zákon), ve znění zákona č. </w:t>
      </w:r>
      <w:hyperlink r:id="rId16"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7" w:history="1">
        <w:r>
          <w:rPr>
            <w:color w:val="darkblue"/>
            <w:u w:val="single"/>
          </w:rPr>
          <w:t xml:space="preserve">43/1994 Sb.</w:t>
        </w:r>
      </w:hyperlink>
      <w:r>
        <w:rPr/>
        <w:t xml:space="preserve">, kterým se mění a doplňuje zákon č. </w:t>
      </w:r>
      <w:hyperlink r:id="rId14"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8" w:history="1">
        <w:r>
          <w:rPr>
            <w:color w:val="darkblue"/>
            <w:u w:val="single"/>
          </w:rPr>
          <w:t xml:space="preserve">59/2001 Sb.</w:t>
        </w:r>
      </w:hyperlink>
      <w:r>
        <w:rPr/>
        <w:t xml:space="preserve">, kterým se mění zákon č. </w:t>
      </w:r>
      <w:hyperlink r:id="rId14"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9" w:history="1">
        <w:r>
          <w:rPr>
            <w:color w:val="darkblue"/>
            <w:u w:val="single"/>
          </w:rPr>
          <w:t xml:space="preserve">422/2002 Sb.</w:t>
        </w:r>
      </w:hyperlink>
      <w:r>
        <w:rPr/>
        <w:t xml:space="preserve">, kterým se mění zákon č. </w:t>
      </w:r>
      <w:hyperlink r:id="rId14"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0"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1"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2"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3" w:history="1">
        <w:r>
          <w:rPr>
            <w:color w:val="darkblue"/>
            <w:u w:val="single"/>
          </w:rPr>
          <w:t xml:space="preserve">492/2002 Sb.</w:t>
        </w:r>
      </w:hyperlink>
      <w:r>
        <w:rPr/>
        <w:t xml:space="preserve">, kterou se mění vyhláška č. </w:t>
      </w:r>
      <w:hyperlink r:id="rId21"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4" w:history="1">
        <w:r>
          <w:rPr>
            <w:color w:val="darkblue"/>
            <w:u w:val="single"/>
          </w:rPr>
          <w:t xml:space="preserve">570/2002 Sb.</w:t>
        </w:r>
      </w:hyperlink>
      <w:r>
        <w:rPr/>
        <w:t xml:space="preserve">, kterou se mění vyhláška č. </w:t>
      </w:r>
      <w:hyperlink r:id="rId22"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80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5" w:history="1">
        <w:r>
          <w:rPr>
            <w:color w:val="darkblue"/>
            <w:u w:val="single"/>
          </w:rPr>
          <w:t xml:space="preserve">§ 34</w:t>
        </w:r>
      </w:hyperlink>
      <w:r>
        <w:rPr>
          <w:sz w:val="19.200000000000003"/>
          <w:szCs w:val="19.200000000000003"/>
        </w:rPr>
        <w:t xml:space="preserve"> zákona č. </w:t>
      </w:r>
      <w:hyperlink r:id="rId26"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28" w:history="1">
        <w:r>
          <w:rPr>
            <w:color w:val="darkblue"/>
            <w:u w:val="single"/>
          </w:rPr>
          <w:t xml:space="preserve">§ 136</w:t>
        </w:r>
      </w:hyperlink>
      <w:r>
        <w:rPr>
          <w:sz w:val="19.200000000000003"/>
          <w:szCs w:val="19.200000000000003"/>
        </w:rPr>
        <w:t xml:space="preserve"> zákona č. </w:t>
      </w:r>
      <w:hyperlink r:id="rId29"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1"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2"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3"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6"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39"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0"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2" w:history="1">
        <w:r>
          <w:rPr>
            <w:color w:val="darkblue"/>
            <w:u w:val="single"/>
          </w:rPr>
          <w:t xml:space="preserve">§ 149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3" w:history="1">
        <w:r>
          <w:rPr>
            <w:color w:val="darkblue"/>
            <w:u w:val="single"/>
          </w:rPr>
          <w:t xml:space="preserve">§ 140</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5"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6"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8"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49"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0"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1"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2" w:history="1">
        <w:r>
          <w:rPr>
            <w:color w:val="darkblue"/>
            <w:u w:val="single"/>
          </w:rPr>
          <w:t xml:space="preserve">§ 139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4"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5"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6" w:history="1">
        <w:r>
          <w:rPr>
            <w:color w:val="darkblue"/>
            <w:u w:val="single"/>
          </w:rPr>
          <w:t xml:space="preserve">§ 76</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57"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8"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59" w:history="1">
        <w:r>
          <w:rPr>
            <w:color w:val="darkblue"/>
            <w:u w:val="single"/>
          </w:rPr>
          <w:t xml:space="preserve">248/2000 Sb.</w:t>
        </w:r>
      </w:hyperlink>
      <w:r>
        <w:rPr>
          <w:sz w:val="19.200000000000003"/>
          <w:szCs w:val="19.200000000000003"/>
        </w:rPr>
        <w:t xml:space="preserve">, o podpoře regionálního rozvoje, ve znění zákona č. </w:t>
      </w:r>
      <w:hyperlink r:id="rId60"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1"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9" w:history="1">
        <w:r>
          <w:rPr>
            <w:color w:val="darkblue"/>
            <w:u w:val="single"/>
          </w:rPr>
          <w:t xml:space="preserve">§ 172</w:t>
        </w:r>
      </w:hyperlink>
      <w:r>
        <w:rPr>
          <w:sz w:val="19.200000000000003"/>
          <w:szCs w:val="19.200000000000003"/>
        </w:rPr>
        <w:t xml:space="preserve"> odst. 3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2"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3" w:history="1">
        <w:r>
          <w:rPr>
            <w:color w:val="darkblue"/>
            <w:u w:val="single"/>
          </w:rPr>
          <w:t xml:space="preserve">§ 171</w:t>
        </w:r>
      </w:hyperlink>
      <w:r>
        <w:rPr>
          <w:sz w:val="19.200000000000003"/>
          <w:szCs w:val="19.200000000000003"/>
        </w:rPr>
        <w:t xml:space="preserve"> až 174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4" w:history="1">
        <w:r>
          <w:rPr>
            <w:color w:val="darkblue"/>
            <w:u w:val="single"/>
          </w:rPr>
          <w:t xml:space="preserve">§ 159</w:t>
        </w:r>
      </w:hyperlink>
      <w:r>
        <w:rPr>
          <w:sz w:val="19.200000000000003"/>
          <w:szCs w:val="19.200000000000003"/>
        </w:rPr>
        <w:t xml:space="preserve"> až 170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5" w:history="1">
        <w:r>
          <w:rPr>
            <w:color w:val="darkblue"/>
            <w:u w:val="single"/>
          </w:rPr>
          <w:t xml:space="preserve">§ 2</w:t>
        </w:r>
      </w:hyperlink>
      <w:r>
        <w:rPr>
          <w:sz w:val="19.200000000000003"/>
          <w:szCs w:val="19.200000000000003"/>
        </w:rPr>
        <w:t xml:space="preserve">, 3 a 11 zákona č. </w:t>
      </w:r>
      <w:hyperlink r:id="rId66"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7"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68" w:history="1">
        <w:r>
          <w:rPr>
            <w:color w:val="darkblue"/>
            <w:u w:val="single"/>
          </w:rPr>
          <w:t xml:space="preserve">266/1994 Sb.</w:t>
        </w:r>
      </w:hyperlink>
      <w:r>
        <w:rPr>
          <w:sz w:val="19.200000000000003"/>
          <w:szCs w:val="19.200000000000003"/>
        </w:rPr>
        <w:t xml:space="preserve">, o dráhách,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69"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0" w:history="1">
        <w:r>
          <w:rPr>
            <w:color w:val="darkblue"/>
            <w:u w:val="single"/>
          </w:rPr>
          <w:t xml:space="preserve">§ 70</w:t>
        </w:r>
      </w:hyperlink>
      <w:r>
        <w:rPr>
          <w:sz w:val="19.200000000000003"/>
          <w:szCs w:val="19.200000000000003"/>
        </w:rPr>
        <w:t xml:space="preserve"> zákona č. </w:t>
      </w:r>
      <w:hyperlink r:id="rId31" w:history="1">
        <w:r>
          <w:rPr>
            <w:color w:val="darkblue"/>
            <w:u w:val="single"/>
          </w:rPr>
          <w:t xml:space="preserve">114/1992 Sb.</w:t>
        </w:r>
      </w:hyperlink>
      <w:r>
        <w:rPr>
          <w:sz w:val="19.200000000000003"/>
          <w:szCs w:val="19.200000000000003"/>
        </w:rPr>
        <w:t xml:space="preserve">, o ochraně přírody a krajiny, ve znění zákona č. </w:t>
      </w:r>
      <w:hyperlink r:id="rId71" w:history="1">
        <w:r>
          <w:rPr>
            <w:color w:val="darkblue"/>
            <w:u w:val="single"/>
          </w:rPr>
          <w:t xml:space="preserve">218/2004 Sb.</w:t>
        </w:r>
      </w:hyperlink>
      <w:r>
        <w:rPr>
          <w:sz w:val="19.200000000000003"/>
          <w:szCs w:val="19.200000000000003"/>
        </w:rPr>
        <w:t xml:space="preserve">, </w:t>
      </w:r>
      <w:hyperlink r:id="rId72" w:history="1">
        <w:r>
          <w:rPr>
            <w:color w:val="darkblue"/>
            <w:u w:val="single"/>
          </w:rPr>
          <w:t xml:space="preserve">§ 23</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2"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3"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4"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75"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76"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77" w:history="1">
        <w:r>
          <w:rPr>
            <w:color w:val="darkblue"/>
            <w:u w:val="single"/>
          </w:rPr>
          <w:t xml:space="preserve">251/2003 Sb.</w:t>
        </w:r>
      </w:hyperlink>
      <w:r>
        <w:rPr>
          <w:sz w:val="19.200000000000003"/>
          <w:szCs w:val="19.200000000000003"/>
        </w:rPr>
        <w:t xml:space="preserve"> a nařízení vlády č. </w:t>
      </w:r>
      <w:hyperlink r:id="rId78"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79"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0" w:history="1">
        <w:r>
          <w:rPr>
            <w:color w:val="darkblue"/>
            <w:u w:val="single"/>
          </w:rPr>
          <w:t xml:space="preserve">§ 4</w:t>
        </w:r>
      </w:hyperlink>
      <w:r>
        <w:rPr>
          <w:sz w:val="19.200000000000003"/>
          <w:szCs w:val="19.200000000000003"/>
        </w:rPr>
        <w:t xml:space="preserve"> vyhlášky č. </w:t>
      </w:r>
      <w:hyperlink r:id="rId81" w:history="1">
        <w:r>
          <w:rPr>
            <w:color w:val="darkblue"/>
            <w:u w:val="single"/>
          </w:rPr>
          <w:t xml:space="preserve">111/1981 Sb.</w:t>
        </w:r>
      </w:hyperlink>
      <w:r>
        <w:rPr>
          <w:sz w:val="19.200000000000003"/>
          <w:szCs w:val="19.200000000000003"/>
        </w:rPr>
        <w:t xml:space="preserve">, o čištění komínů, </w:t>
      </w:r>
      <w:hyperlink r:id="rId82" w:history="1">
        <w:r>
          <w:rPr>
            <w:color w:val="darkblue"/>
            <w:u w:val="single"/>
          </w:rPr>
          <w:t xml:space="preserve">§ 15</w:t>
        </w:r>
      </w:hyperlink>
      <w:r>
        <w:rPr>
          <w:sz w:val="19.200000000000003"/>
          <w:szCs w:val="19.200000000000003"/>
        </w:rPr>
        <w:t xml:space="preserve"> a 19 vyhlášky č. </w:t>
      </w:r>
      <w:hyperlink r:id="rId83" w:history="1">
        <w:r>
          <w:rPr>
            <w:color w:val="darkblue"/>
            <w:u w:val="single"/>
          </w:rPr>
          <w:t xml:space="preserve">428/2001 Sb.</w:t>
        </w:r>
      </w:hyperlink>
      <w:r>
        <w:rPr>
          <w:sz w:val="19.200000000000003"/>
          <w:szCs w:val="19.200000000000003"/>
        </w:rPr>
        <w:t xml:space="preserve">, kterou se provádí zákon č. </w:t>
      </w:r>
      <w:hyperlink r:id="rId84"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85" w:history="1">
        <w:r>
          <w:rPr>
            <w:color w:val="darkblue"/>
            <w:u w:val="single"/>
          </w:rPr>
          <w:t xml:space="preserve">§ 4</w:t>
        </w:r>
      </w:hyperlink>
      <w:r>
        <w:rPr>
          <w:sz w:val="19.200000000000003"/>
          <w:szCs w:val="19.200000000000003"/>
        </w:rPr>
        <w:t xml:space="preserve"> vyhlášky č. </w:t>
      </w:r>
      <w:hyperlink r:id="rId86"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87"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88"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6" w:history="1">
        <w:r>
          <w:rPr>
            <w:color w:val="darkblue"/>
            <w:u w:val="single"/>
          </w:rPr>
          <w:t xml:space="preserve">128/2000 Sb.</w:t>
        </w:r>
      </w:hyperlink>
      <w:r>
        <w:rPr>
          <w:sz w:val="19.200000000000003"/>
          <w:szCs w:val="19.200000000000003"/>
        </w:rPr>
        <w:t xml:space="preserve">, ve znění zákona č. </w:t>
      </w:r>
      <w:hyperlink r:id="rId89" w:history="1">
        <w:r>
          <w:rPr>
            <w:color w:val="darkblue"/>
            <w:u w:val="single"/>
          </w:rPr>
          <w:t xml:space="preserve">227/2009 Sb.</w:t>
        </w:r>
      </w:hyperlink>
      <w:r>
        <w:rPr>
          <w:sz w:val="19.200000000000003"/>
          <w:szCs w:val="19.200000000000003"/>
        </w:rPr>
        <w:t xml:space="preserve"> § 14 odst. 1 až 3 zákona č. </w:t>
      </w:r>
      <w:hyperlink r:id="rId44" w:history="1">
        <w:r>
          <w:rPr>
            <w:color w:val="darkblue"/>
            <w:u w:val="single"/>
          </w:rPr>
          <w:t xml:space="preserve">131/2000 Sb.</w:t>
        </w:r>
      </w:hyperlink>
      <w:r>
        <w:rPr>
          <w:sz w:val="19.200000000000003"/>
          <w:szCs w:val="19.200000000000003"/>
        </w:rPr>
        <w:t xml:space="preserve">, ve znění zákona č. </w:t>
      </w:r>
      <w:hyperlink r:id="rId89"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0"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1"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2"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3" w:history="1">
        <w:r>
          <w:rPr>
            <w:color w:val="darkblue"/>
            <w:u w:val="single"/>
          </w:rPr>
          <w:t xml:space="preserve">§ 35</w:t>
        </w:r>
      </w:hyperlink>
      <w:r>
        <w:rPr>
          <w:sz w:val="19.200000000000003"/>
          <w:szCs w:val="19.200000000000003"/>
        </w:rPr>
        <w:t xml:space="preserve"> odst. 1 zákona č. </w:t>
      </w:r>
      <w:hyperlink r:id="rId37" w:history="1">
        <w:r>
          <w:rPr>
            <w:color w:val="darkblue"/>
            <w:u w:val="single"/>
          </w:rPr>
          <w:t xml:space="preserve">13/1997 Sb.</w:t>
        </w:r>
      </w:hyperlink>
      <w:r>
        <w:rPr>
          <w:sz w:val="19.200000000000003"/>
          <w:szCs w:val="19.200000000000003"/>
        </w:rPr>
        <w:t xml:space="preserve">, o pozemních komunikacích, ve znění zákona č. </w:t>
      </w:r>
      <w:hyperlink r:id="rId94"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95"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96"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97"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98" w:history="1">
        <w:r>
          <w:rPr>
            <w:color w:val="darkblue"/>
            <w:u w:val="single"/>
          </w:rPr>
          <w:t xml:space="preserve">§ 22</w:t>
        </w:r>
      </w:hyperlink>
      <w:r>
        <w:rPr>
          <w:sz w:val="19.200000000000003"/>
          <w:szCs w:val="19.200000000000003"/>
        </w:rPr>
        <w:t xml:space="preserve"> odst. 3 zákona č. </w:t>
      </w:r>
      <w:hyperlink r:id="rId53" w:history="1">
        <w:r>
          <w:rPr>
            <w:color w:val="darkblue"/>
            <w:u w:val="single"/>
          </w:rPr>
          <w:t xml:space="preserve">360/1992 Sb.</w:t>
        </w:r>
      </w:hyperlink>
      <w:r>
        <w:rPr>
          <w:sz w:val="19.200000000000003"/>
          <w:szCs w:val="19.200000000000003"/>
        </w:rPr>
        <w:t xml:space="preserve">, ve znění zákona č. </w:t>
      </w:r>
      <w:hyperlink r:id="rId97"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99"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3" w:history="1">
        <w:r>
          <w:rPr>
            <w:color w:val="darkblue"/>
            <w:u w:val="single"/>
          </w:rPr>
          <w:t xml:space="preserve">360/1992 Sb.</w:t>
        </w:r>
      </w:hyperlink>
      <w:r>
        <w:rPr>
          <w:sz w:val="19.200000000000003"/>
          <w:szCs w:val="19.200000000000003"/>
        </w:rPr>
        <w:t xml:space="preserve">, zákon č. </w:t>
      </w:r>
      <w:hyperlink r:id="rId100"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1" w:history="1">
        <w:r>
          <w:rPr>
            <w:color w:val="darkblue"/>
            <w:u w:val="single"/>
          </w:rPr>
          <w:t xml:space="preserve">§ 68</w:t>
        </w:r>
      </w:hyperlink>
      <w:r>
        <w:rPr>
          <w:sz w:val="19.200000000000003"/>
          <w:szCs w:val="19.200000000000003"/>
        </w:rPr>
        <w:t xml:space="preserve"> zákona č. </w:t>
      </w:r>
      <w:hyperlink r:id="rId99"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2"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3" w:history="1">
        <w:r>
          <w:rPr>
            <w:color w:val="darkblue"/>
            <w:u w:val="single"/>
          </w:rPr>
          <w:t xml:space="preserve">§ 15</w:t>
        </w:r>
      </w:hyperlink>
      <w:r>
        <w:rPr>
          <w:sz w:val="19.200000000000003"/>
          <w:szCs w:val="19.200000000000003"/>
        </w:rPr>
        <w:t xml:space="preserve"> odst. 2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4" w:history="1">
        <w:r>
          <w:rPr>
            <w:color w:val="darkblue"/>
            <w:u w:val="single"/>
          </w:rPr>
          <w:t xml:space="preserve">§ 58</w:t>
        </w:r>
      </w:hyperlink>
      <w:r>
        <w:rPr>
          <w:sz w:val="19.200000000000003"/>
          <w:szCs w:val="19.200000000000003"/>
        </w:rPr>
        <w:t xml:space="preserve"> a </w:t>
      </w:r>
      <w:hyperlink r:id="rId105" w:history="1">
        <w:r>
          <w:rPr>
            <w:color w:val="darkblue"/>
            <w:u w:val="single"/>
          </w:rPr>
          <w:t xml:space="preserve">§ 62</w:t>
        </w:r>
      </w:hyperlink>
      <w:r>
        <w:rPr>
          <w:sz w:val="19.200000000000003"/>
          <w:szCs w:val="19.200000000000003"/>
        </w:rPr>
        <w:t xml:space="preserve"> odst. 3 až 6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1"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06"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0"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07"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1"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29"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08" w:history="1">
        <w:r>
          <w:rPr>
            <w:color w:val="darkblue"/>
            <w:u w:val="single"/>
          </w:rPr>
          <w:t xml:space="preserve">§ 36</w:t>
        </w:r>
      </w:hyperlink>
      <w:r>
        <w:rPr>
          <w:sz w:val="19.200000000000003"/>
          <w:szCs w:val="19.200000000000003"/>
        </w:rPr>
        <w:t xml:space="preserve"> zákona č. </w:t>
      </w:r>
      <w:hyperlink r:id="rId109" w:history="1">
        <w:r>
          <w:rPr>
            <w:color w:val="darkblue"/>
            <w:u w:val="single"/>
          </w:rPr>
          <w:t xml:space="preserve">49/1997 Sb.</w:t>
        </w:r>
      </w:hyperlink>
      <w:r>
        <w:rPr>
          <w:sz w:val="19.200000000000003"/>
          <w:szCs w:val="19.200000000000003"/>
        </w:rPr>
        <w:t xml:space="preserve">, o civilním letectví a o změně a doplnění zákona č. </w:t>
      </w:r>
      <w:hyperlink r:id="rId27"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0"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1"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49"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12"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13"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3" w:history="1">
        <w:r>
          <w:rPr>
            <w:color w:val="darkblue"/>
            <w:u w:val="single"/>
          </w:rPr>
          <w:t xml:space="preserve">219/2000 Sb.</w:t>
        </w:r>
      </w:hyperlink>
      <w:r>
        <w:rPr>
          <w:sz w:val="19.200000000000003"/>
          <w:szCs w:val="19.200000000000003"/>
        </w:rPr>
        <w:t xml:space="preserve"> § 10 zákona č. </w:t>
      </w:r>
      <w:hyperlink r:id="rId114"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15"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0"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16" w:history="1">
        <w:r>
          <w:rPr>
            <w:color w:val="darkblue"/>
            <w:u w:val="single"/>
          </w:rPr>
          <w:t xml:space="preserve">262/2006 Sb.</w:t>
        </w:r>
      </w:hyperlink>
      <w:r>
        <w:rPr>
          <w:sz w:val="19.200000000000003"/>
          <w:szCs w:val="19.200000000000003"/>
        </w:rPr>
        <w:t xml:space="preserve">, zákoník práce,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17" w:history="1">
        <w:r>
          <w:rPr>
            <w:color w:val="darkblue"/>
            <w:u w:val="single"/>
          </w:rPr>
          <w:t xml:space="preserve">§ 19</w:t>
        </w:r>
      </w:hyperlink>
      <w:r>
        <w:rPr>
          <w:sz w:val="24"/>
          <w:szCs w:val="24"/>
        </w:rPr>
        <w:t xml:space="preserve"> odst. 2 zákona č. </w:t>
      </w:r>
      <w:hyperlink r:id="rId118"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18"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18"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18"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18"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18"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18"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18"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sectPr>
      <w:headerReference w:type="default" r:id="rId119"/>
      <w:footerReference w:type="default" r:id="rId1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350/2012 Sb. z </w:t>
          </w:r>
          <w:r>
            <w:rPr>
              <w:rStyle w:val="bold"/>
            </w:rPr>
            <w:t xml:space="preserve">1. 1. 2013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sb?DR=SB&amp;CP=2004s500#C02_H09_P097" TargetMode="External"/><Relationship Id="rId9" Type="http://schemas.openxmlformats.org/officeDocument/2006/relationships/hyperlink" Target="https://esipa.cz/sbirka/sbsrv.dll/sb?DR=SB&amp;CP=2004s500#C06_P172" TargetMode="External"/><Relationship Id="rId10" Type="http://schemas.openxmlformats.org/officeDocument/2006/relationships/hyperlink" Target="https://esipa.cz/sbirka/sbsrv.dll/sb?DR=SB&amp;CP=2004s500#C02_H06_D006_P075" TargetMode="External"/><Relationship Id="rId11" Type="http://schemas.openxmlformats.org/officeDocument/2006/relationships/hyperlink" Target="https://esipa.cz/sbirka/sbsrv.dll/sb?DR=SB&amp;CP=2009s281" TargetMode="External"/><Relationship Id="rId12" Type="http://schemas.openxmlformats.org/officeDocument/2006/relationships/hyperlink" Target="https://esipa.cz/sbirka/sbsrv.dll/sb?DR=SB&amp;CP=1946s086" TargetMode="External"/><Relationship Id="rId13" Type="http://schemas.openxmlformats.org/officeDocument/2006/relationships/hyperlink" Target="https://esipa.cz/sbirka/sbsrv.dll/sb?DR=SB&amp;CP=1947s115" TargetMode="External"/><Relationship Id="rId14" Type="http://schemas.openxmlformats.org/officeDocument/2006/relationships/hyperlink" Target="https://esipa.cz/sbirka/sbsrv.dll/sb?DR=SB&amp;CP=1976s050" TargetMode="External"/><Relationship Id="rId15" Type="http://schemas.openxmlformats.org/officeDocument/2006/relationships/hyperlink" Target="https://esipa.cz/sbirka/sbsrv.dll/sb?DR=SB&amp;CP=1992s262" TargetMode="External"/><Relationship Id="rId16" Type="http://schemas.openxmlformats.org/officeDocument/2006/relationships/hyperlink" Target="https://esipa.cz/sbirka/sbsrv.dll/sb?DR=SB&amp;CP=1990s103" TargetMode="External"/><Relationship Id="rId17" Type="http://schemas.openxmlformats.org/officeDocument/2006/relationships/hyperlink" Target="https://esipa.cz/sbirka/sbsrv.dll/sb?DR=SB&amp;CP=1994s043" TargetMode="External"/><Relationship Id="rId18" Type="http://schemas.openxmlformats.org/officeDocument/2006/relationships/hyperlink" Target="https://esipa.cz/sbirka/sbsrv.dll/sb?DR=SB&amp;CP=2001s059" TargetMode="External"/><Relationship Id="rId19" Type="http://schemas.openxmlformats.org/officeDocument/2006/relationships/hyperlink" Target="https://esipa.cz/sbirka/sbsrv.dll/sb?DR=SB&amp;CP=2002s422" TargetMode="External"/><Relationship Id="rId20" Type="http://schemas.openxmlformats.org/officeDocument/2006/relationships/hyperlink" Target="https://esipa.cz/sbirka/sbsrv.dll/sb?DR=SB&amp;CP=1979s120" TargetMode="External"/><Relationship Id="rId21" Type="http://schemas.openxmlformats.org/officeDocument/2006/relationships/hyperlink" Target="https://esipa.cz/sbirka/sbsrv.dll/sb?DR=SB&amp;CP=1998s132" TargetMode="External"/><Relationship Id="rId22" Type="http://schemas.openxmlformats.org/officeDocument/2006/relationships/hyperlink" Target="https://esipa.cz/sbirka/sbsrv.dll/sb?DR=SB&amp;CP=2001s135" TargetMode="External"/><Relationship Id="rId23" Type="http://schemas.openxmlformats.org/officeDocument/2006/relationships/hyperlink" Target="https://esipa.cz/sbirka/sbsrv.dll/sb?DR=SB&amp;CP=2002s492" TargetMode="External"/><Relationship Id="rId24" Type="http://schemas.openxmlformats.org/officeDocument/2006/relationships/hyperlink" Target="https://esipa.cz/sbirka/sbsrv.dll/sb?DR=SB&amp;CP=2002s570" TargetMode="External"/><Relationship Id="rId25" Type="http://schemas.openxmlformats.org/officeDocument/2006/relationships/hyperlink" Target="https://esipa.cz/sbirka/sbsrv.dll/sb?DR=SB&amp;CP=2000s128#C01_H01_D004_P034" TargetMode="External"/><Relationship Id="rId26" Type="http://schemas.openxmlformats.org/officeDocument/2006/relationships/hyperlink" Target="https://esipa.cz/sbirka/sbsrv.dll/sb?DR=SB&amp;CP=2000s128" TargetMode="External"/><Relationship Id="rId27" Type="http://schemas.openxmlformats.org/officeDocument/2006/relationships/hyperlink" Target="https://esipa.cz/sbirka/sbsrv.dll/sb?DR=SB&amp;CP=1991s455" TargetMode="External"/><Relationship Id="rId28" Type="http://schemas.openxmlformats.org/officeDocument/2006/relationships/hyperlink" Target="https://esipa.cz/sbirka/sbsrv.dll/sb?DR=SB&amp;CP=2004s500#C03_H02_P136" TargetMode="External"/><Relationship Id="rId29" Type="http://schemas.openxmlformats.org/officeDocument/2006/relationships/hyperlink" Target="https://esipa.cz/sbirka/sbsrv.dll/sb?DR=SB&amp;CP=2004s500" TargetMode="External"/><Relationship Id="rId30" Type="http://schemas.openxmlformats.org/officeDocument/2006/relationships/hyperlink" Target="https://esipa.cz/sbirka/sbsrv.dll/sb?DR=SB&amp;CP=2001s254" TargetMode="External"/><Relationship Id="rId31" Type="http://schemas.openxmlformats.org/officeDocument/2006/relationships/hyperlink" Target="https://esipa.cz/sbirka/sbsrv.dll/sb?DR=SB&amp;CP=1992s114" TargetMode="External"/><Relationship Id="rId32" Type="http://schemas.openxmlformats.org/officeDocument/2006/relationships/hyperlink" Target="https://esipa.cz/sbirka/sbsrv.dll/sb?DR=SB&amp;CP=2002s086" TargetMode="External"/><Relationship Id="rId33" Type="http://schemas.openxmlformats.org/officeDocument/2006/relationships/hyperlink" Target="https://esipa.cz/sbirka/sbsrv.dll/sb?DR=SB&amp;CP=1992s334" TargetMode="External"/><Relationship Id="rId34" Type="http://schemas.openxmlformats.org/officeDocument/2006/relationships/hyperlink" Target="https://esipa.cz/sbirka/sbsrv.dll/sb?DR=SB&amp;CP=1987s020" TargetMode="External"/><Relationship Id="rId35" Type="http://schemas.openxmlformats.org/officeDocument/2006/relationships/hyperlink" Target="https://esipa.cz/sbirka/sbsrv.dll/sb?DR=SB&amp;CP=1995s289" TargetMode="External"/><Relationship Id="rId36" Type="http://schemas.openxmlformats.org/officeDocument/2006/relationships/hyperlink" Target="https://esipa.cz/sbirka/sbsrv.dll/sb?DR=SB&amp;CP=1985s133" TargetMode="External"/><Relationship Id="rId37" Type="http://schemas.openxmlformats.org/officeDocument/2006/relationships/hyperlink" Target="https://esipa.cz/sbirka/sbsrv.dll/sb?DR=SB&amp;CP=1997s013" TargetMode="External"/><Relationship Id="rId38" Type="http://schemas.openxmlformats.org/officeDocument/2006/relationships/hyperlink" Target="https://esipa.cz/sbirka/sbsrv.dll/sb?DR=SB&amp;CP=1988s044" TargetMode="External"/><Relationship Id="rId39" Type="http://schemas.openxmlformats.org/officeDocument/2006/relationships/hyperlink" Target="https://esipa.cz/sbirka/sbsrv.dll/sb?DR=SB&amp;CP=2001s164" TargetMode="External"/><Relationship Id="rId40" Type="http://schemas.openxmlformats.org/officeDocument/2006/relationships/hyperlink" Target="https://esipa.cz/sbirka/sbsrv.dll/sb?DR=SB&amp;CP=1988s062"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4s500#C03_H06_P149" TargetMode="External"/><Relationship Id="rId43" Type="http://schemas.openxmlformats.org/officeDocument/2006/relationships/hyperlink" Target="https://esipa.cz/sbirka/sbsrv.dll/sb?DR=SB&amp;CP=2004s500#C03_H04_P140" TargetMode="External"/><Relationship Id="rId44" Type="http://schemas.openxmlformats.org/officeDocument/2006/relationships/hyperlink" Target="https://esipa.cz/sbirka/sbsrv.dll/sb?DR=SB&amp;CP=2000s131" TargetMode="External"/><Relationship Id="rId45" Type="http://schemas.openxmlformats.org/officeDocument/2006/relationships/hyperlink" Target="https://esipa.cz/sbirka/sbsrv.dll/sb?DR=SB&amp;CP=2002s314" TargetMode="External"/><Relationship Id="rId46" Type="http://schemas.openxmlformats.org/officeDocument/2006/relationships/hyperlink" Target="https://esipa.cz/sbirka/sbsrv.dll/sb?DR=SB&amp;CP=2004s387" TargetMode="External"/><Relationship Id="rId47" Type="http://schemas.openxmlformats.org/officeDocument/2006/relationships/hyperlink" Target="https://esipa.cz/sbirka/sbsrv.dll/sb?DR=SB&amp;CP=2002s076" TargetMode="External"/><Relationship Id="rId48" Type="http://schemas.openxmlformats.org/officeDocument/2006/relationships/hyperlink" Target="https://esipa.cz/sbirka/sbsrv.dll/sb?DR=SB&amp;CP=1997s018" TargetMode="External"/><Relationship Id="rId49" Type="http://schemas.openxmlformats.org/officeDocument/2006/relationships/hyperlink" Target="https://esipa.cz/sbirka/sbsrv.dll/sb?DR=SB&amp;CP=2000s458" TargetMode="External"/><Relationship Id="rId50" Type="http://schemas.openxmlformats.org/officeDocument/2006/relationships/hyperlink" Target="https://esipa.cz/sbirka/sbsrv.dll/sb?DR=SB&amp;CP=2001s100" TargetMode="External"/><Relationship Id="rId51" Type="http://schemas.openxmlformats.org/officeDocument/2006/relationships/hyperlink" Target="https://esipa.cz/sbirka/sbsrv.dll/sb?DR=SB&amp;CP=2004s093" TargetMode="External"/><Relationship Id="rId52" Type="http://schemas.openxmlformats.org/officeDocument/2006/relationships/hyperlink" Target="https://esipa.cz/sbirka/sbsrv.dll/sb?DR=SB&amp;CP=2004s500#C03_H03_P139" TargetMode="External"/><Relationship Id="rId53" Type="http://schemas.openxmlformats.org/officeDocument/2006/relationships/hyperlink" Target="https://esipa.cz/sbirka/sbsrv.dll/sb?DR=SB&amp;CP=1992s360" TargetMode="External"/><Relationship Id="rId54" Type="http://schemas.openxmlformats.org/officeDocument/2006/relationships/hyperlink" Target="https://esipa.cz/sbirka/sbsrv.dll/sb?DR=SB&amp;CP=2000s133" TargetMode="External"/><Relationship Id="rId55" Type="http://schemas.openxmlformats.org/officeDocument/2006/relationships/hyperlink" Target="https://esipa.cz/sbirka/sbsrv.dll/sb?DR=SB&amp;CP=1999s326" TargetMode="External"/><Relationship Id="rId56" Type="http://schemas.openxmlformats.org/officeDocument/2006/relationships/hyperlink" Target="https://esipa.cz/sbirka/sbsrv.dll/sb?DR=SB&amp;CP=2004s500#C02_H06_D006_P076" TargetMode="External"/><Relationship Id="rId57" Type="http://schemas.openxmlformats.org/officeDocument/2006/relationships/hyperlink" Target="https://esipa.cz/sbirka/sbsrv.dll/sb?DR=SB&amp;CP=2002s312" TargetMode="External"/><Relationship Id="rId58" Type="http://schemas.openxmlformats.org/officeDocument/2006/relationships/hyperlink" Target="https://esipa.cz/sbirka/sbsrv.dll/sb?DR=SB&amp;CP=1995s116" TargetMode="External"/><Relationship Id="rId59" Type="http://schemas.openxmlformats.org/officeDocument/2006/relationships/hyperlink" Target="https://esipa.cz/sbirka/sbsrv.dll/sb?DR=SB&amp;CP=2000s248" TargetMode="External"/><Relationship Id="rId60" Type="http://schemas.openxmlformats.org/officeDocument/2006/relationships/hyperlink" Target="https://esipa.cz/sbirka/sbsrv.dll/sb?DR=SB&amp;CP=2002s320" TargetMode="External"/><Relationship Id="rId61" Type="http://schemas.openxmlformats.org/officeDocument/2006/relationships/hyperlink" Target="https://esipa.cz/sbirka/sbsrv.dll/sb?DR=SB&amp;CP=1998s123" TargetMode="External"/><Relationship Id="rId62" Type="http://schemas.openxmlformats.org/officeDocument/2006/relationships/hyperlink" Target="https://esipa.cz/sbirka/sbsrv.dll/sb?DR=SB&amp;CP=1992s344" TargetMode="External"/><Relationship Id="rId63" Type="http://schemas.openxmlformats.org/officeDocument/2006/relationships/hyperlink" Target="https://esipa.cz/sbirka/sbsrv.dll/sb?DR=SB&amp;CP=2004s500#C06_P171" TargetMode="External"/><Relationship Id="rId64" Type="http://schemas.openxmlformats.org/officeDocument/2006/relationships/hyperlink" Target="https://esipa.cz/sbirka/sbsrv.dll/sb?DR=SB&amp;CP=2004s500#C05_P159" TargetMode="External"/><Relationship Id="rId65" Type="http://schemas.openxmlformats.org/officeDocument/2006/relationships/hyperlink" Target="https://esipa.cz/sbirka/sbsrv.dll/sb?DR=SB&amp;CP=2002s139#C01_P002" TargetMode="External"/><Relationship Id="rId66" Type="http://schemas.openxmlformats.org/officeDocument/2006/relationships/hyperlink" Target="https://esipa.cz/sbirka/sbsrv.dll/sb?DR=SB&amp;CP=2002s139" TargetMode="External"/><Relationship Id="rId67" Type="http://schemas.openxmlformats.org/officeDocument/2006/relationships/hyperlink" Target="https://esipa.cz/sbirka/sbsrv.dll/sb?DR=SB&amp;CP=1991s229" TargetMode="External"/><Relationship Id="rId68" Type="http://schemas.openxmlformats.org/officeDocument/2006/relationships/hyperlink" Target="https://esipa.cz/sbirka/sbsrv.dll/sb?DR=SB&amp;CP=1994s266" TargetMode="External"/><Relationship Id="rId69" Type="http://schemas.openxmlformats.org/officeDocument/2006/relationships/hyperlink" Target="https://esipa.cz/sbirka/sbsrv.dll/sb?DR=SB&amp;CP=1994s072" TargetMode="External"/><Relationship Id="rId70" Type="http://schemas.openxmlformats.org/officeDocument/2006/relationships/hyperlink" Target="https://esipa.cz/sbirka/sbsrv.dll/sb?DR=SB&amp;CP=1992s114#C05_H03_P070" TargetMode="External"/><Relationship Id="rId71" Type="http://schemas.openxmlformats.org/officeDocument/2006/relationships/hyperlink" Target="https://esipa.cz/sbirka/sbsrv.dll/sb?DR=SB&amp;CP=2004s218" TargetMode="External"/><Relationship Id="rId72" Type="http://schemas.openxmlformats.org/officeDocument/2006/relationships/hyperlink" Target="https://esipa.cz/sbirka/sbsrv.dll/sb?DR=SB&amp;CP=2001s100#C01_H03_D002_P023" TargetMode="External"/><Relationship Id="rId73" Type="http://schemas.openxmlformats.org/officeDocument/2006/relationships/hyperlink" Target="https://esipa.cz/sbirka/sbsrv.dll/sb?DR=SB&amp;CP=2000s219" TargetMode="External"/><Relationship Id="rId74" Type="http://schemas.openxmlformats.org/officeDocument/2006/relationships/hyperlink" Target="https://esipa.cz/sbirka/sbsrv.dll/sb?DR=SB&amp;CP=1997s022" TargetMode="External"/><Relationship Id="rId75" Type="http://schemas.openxmlformats.org/officeDocument/2006/relationships/hyperlink" Target="https://esipa.cz/sbirka/sbsrv.dll/sb?DR=SB&amp;CP=2002s163" TargetMode="External"/><Relationship Id="rId76" Type="http://schemas.openxmlformats.org/officeDocument/2006/relationships/hyperlink" Target="https://esipa.cz/sbirka/sbsrv.dll/sb?DR=SB&amp;CP=2002s190" TargetMode="External"/><Relationship Id="rId77" Type="http://schemas.openxmlformats.org/officeDocument/2006/relationships/hyperlink" Target="https://esipa.cz/sbirka/sbsrv.dll/sb?DR=SB&amp;CP=2003s251" TargetMode="External"/><Relationship Id="rId78" Type="http://schemas.openxmlformats.org/officeDocument/2006/relationships/hyperlink" Target="https://esipa.cz/sbirka/sbsrv.dll/sb?DR=SB&amp;CP=2004s128" TargetMode="External"/><Relationship Id="rId79" Type="http://schemas.openxmlformats.org/officeDocument/2006/relationships/hyperlink" Target="https://esipa.cz/sbirka/sbsrv.dll/sb?DR=SB&amp;CP=1997s104" TargetMode="External"/><Relationship Id="rId80" Type="http://schemas.openxmlformats.org/officeDocument/2006/relationships/hyperlink" Target="https://esipa.cz/sbirka/sbsrv.dll/sb?DR=SB&amp;CP=1981s111#P004" TargetMode="External"/><Relationship Id="rId81" Type="http://schemas.openxmlformats.org/officeDocument/2006/relationships/hyperlink" Target="https://esipa.cz/sbirka/sbsrv.dll/sb?DR=SB&amp;CP=1981s111" TargetMode="External"/><Relationship Id="rId82" Type="http://schemas.openxmlformats.org/officeDocument/2006/relationships/hyperlink" Target="https://esipa.cz/sbirka/sbsrv.dll/sb?DR=SB&amp;CP=2001s428#C07_P015" TargetMode="External"/><Relationship Id="rId83" Type="http://schemas.openxmlformats.org/officeDocument/2006/relationships/hyperlink" Target="https://esipa.cz/sbirka/sbsrv.dll/sb?DR=SB&amp;CP=2001s428" TargetMode="External"/><Relationship Id="rId84" Type="http://schemas.openxmlformats.org/officeDocument/2006/relationships/hyperlink" Target="https://esipa.cz/sbirka/sbsrv.dll/sb?DR=SB&amp;CP=2001s274" TargetMode="External"/><Relationship Id="rId85" Type="http://schemas.openxmlformats.org/officeDocument/2006/relationships/hyperlink" Target="https://esipa.cz/sbirka/sbsrv.dll/sb?DR=SB&amp;CP=1978s085#C02_P004" TargetMode="External"/><Relationship Id="rId86" Type="http://schemas.openxmlformats.org/officeDocument/2006/relationships/hyperlink" Target="https://esipa.cz/sbirka/sbsrv.dll/sb?DR=SB&amp;CP=1978s085" TargetMode="External"/><Relationship Id="rId87" Type="http://schemas.openxmlformats.org/officeDocument/2006/relationships/hyperlink" Target="https://esipa.cz/sbirka/sbsrv.dll/sb?DR=SB&amp;CP=2000s352" TargetMode="External"/><Relationship Id="rId88" Type="http://schemas.openxmlformats.org/officeDocument/2006/relationships/hyperlink" Target="http://www.esipa.cz/sbirka/sbsrv.dll/sb?DR=SB&amp;CP=2009s111" TargetMode="External"/><Relationship Id="rId89" Type="http://schemas.openxmlformats.org/officeDocument/2006/relationships/hyperlink" Target="https://esipa.cz/sbirka/sbsrv.dll/sb?DR=SB&amp;CP=2009s227" TargetMode="External"/><Relationship Id="rId90" Type="http://schemas.openxmlformats.org/officeDocument/2006/relationships/hyperlink" Target="https://esipa.cz/sbirka/sbsrv.dll/sb?DR=SB&amp;CP=1991s552" TargetMode="External"/><Relationship Id="rId91" Type="http://schemas.openxmlformats.org/officeDocument/2006/relationships/hyperlink" Target="https://esipa.cz/sbirka/sbsrv.dll/sb?DR=SB&amp;CP=2000s239" TargetMode="External"/><Relationship Id="rId92" Type="http://schemas.openxmlformats.org/officeDocument/2006/relationships/hyperlink" Target="https://esipa.cz/sbirka/sbsrv.dll/sb?DR=SB&amp;CP=2002s380" TargetMode="External"/><Relationship Id="rId93" Type="http://schemas.openxmlformats.org/officeDocument/2006/relationships/hyperlink" Target="https://esipa.cz/sbirka/sbsrv.dll/sb?DR=SB&amp;CP=1997s013#C05_P035" TargetMode="External"/><Relationship Id="rId94" Type="http://schemas.openxmlformats.org/officeDocument/2006/relationships/hyperlink" Target="https://esipa.cz/sbirka/sbsrv.dll/sb?DR=SB&amp;CP=2000s102" TargetMode="External"/><Relationship Id="rId95" Type="http://schemas.openxmlformats.org/officeDocument/2006/relationships/hyperlink" Target="https://esipa.cz/sbirka/sbsrv.dll/sb?DR=SB&amp;CP=2004s018" TargetMode="External"/><Relationship Id="rId96" Type="http://schemas.openxmlformats.org/officeDocument/2006/relationships/hyperlink" Target="https://esipa.cz/sbirka/sbsrv.dll/sb?DR=SB&amp;CP=2004s634" TargetMode="External"/><Relationship Id="rId97" Type="http://schemas.openxmlformats.org/officeDocument/2006/relationships/hyperlink" Target="https://esipa.cz/sbirka/sbsrv.dll/sb?DR=SB&amp;CP=2003s224" TargetMode="External"/><Relationship Id="rId98" Type="http://schemas.openxmlformats.org/officeDocument/2006/relationships/hyperlink" Target="https://esipa.cz/sbirka/sbsrv.dll/sb?DR=SB&amp;CP=1992s360#C04_P022" TargetMode="External"/><Relationship Id="rId99" Type="http://schemas.openxmlformats.org/officeDocument/2006/relationships/hyperlink" Target="https://esipa.cz/sbirka/sbsrv.dll/sb?DR=SB&amp;CP=2004s499" TargetMode="External"/><Relationship Id="rId100" Type="http://schemas.openxmlformats.org/officeDocument/2006/relationships/hyperlink" Target="https://esipa.cz/sbirka/sbsrv.dll/sb?DR=SB&amp;CP=1994s200" TargetMode="External"/><Relationship Id="rId101" Type="http://schemas.openxmlformats.org/officeDocument/2006/relationships/hyperlink" Target="https://esipa.cz/sbirka/sbsrv.dll/sb?DR=SB&amp;CP=2004s499#C01_H03_P068" TargetMode="External"/><Relationship Id="rId102" Type="http://schemas.openxmlformats.org/officeDocument/2006/relationships/hyperlink" Target="https://esipa.cz/sbirka/sbsrv.dll/sb?DR=SB&amp;CP=2006s184" TargetMode="External"/><Relationship Id="rId103" Type="http://schemas.openxmlformats.org/officeDocument/2006/relationships/hyperlink" Target="https://esipa.cz/sbirka/sbsrv.dll/sb?DR=SB&amp;CP=2004s500#C02_H02_D003_P015" TargetMode="External"/><Relationship Id="rId104" Type="http://schemas.openxmlformats.org/officeDocument/2006/relationships/hyperlink" Target="https://esipa.cz/sbirka/sbsrv.dll/sb?DR=SB&amp;CP=2004s500#C02_H06_D004_P058" TargetMode="External"/><Relationship Id="rId105" Type="http://schemas.openxmlformats.org/officeDocument/2006/relationships/hyperlink" Target="https://esipa.cz/sbirka/sbsrv.dll/sb?DR=SB&amp;CP=2004s500#C02_H06_D004_P062" TargetMode="External"/><Relationship Id="rId106" Type="http://schemas.openxmlformats.org/officeDocument/2006/relationships/hyperlink" Target="https://esipa.cz/sbirka/sbsrv.dll/sb?DR=SB&amp;CP=2000s240" TargetMode="External"/><Relationship Id="rId107" Type="http://schemas.openxmlformats.org/officeDocument/2006/relationships/hyperlink" Target="https://esipa.cz/sbirka/sbsrv.dll/sb?DR=SB&amp;CP=1991s513#C01_H01_D01_P002" TargetMode="External"/><Relationship Id="rId108" Type="http://schemas.openxmlformats.org/officeDocument/2006/relationships/hyperlink" Target="https://esipa.cz/sbirka/sbsrv.dll/sb?DR=SB&amp;CP=1997s049#C04_P036" TargetMode="External"/><Relationship Id="rId109" Type="http://schemas.openxmlformats.org/officeDocument/2006/relationships/hyperlink" Target="https://esipa.cz/sbirka/sbsrv.dll/sb?DR=SB&amp;CP=1997s049" TargetMode="External"/><Relationship Id="rId110" Type="http://schemas.openxmlformats.org/officeDocument/2006/relationships/hyperlink" Target="https://esipa.cz/sbirka/sbsrv.dll/sb?DR=SB&amp;CP=2000s227" TargetMode="External"/><Relationship Id="rId111" Type="http://schemas.openxmlformats.org/officeDocument/2006/relationships/hyperlink" Target="https://esipa.cz/sbirka/sbsrv.dll/sb?DR=SB&amp;CP=2009s111" TargetMode="External"/><Relationship Id="rId112" Type="http://schemas.openxmlformats.org/officeDocument/2006/relationships/hyperlink" Target="https://esipa.cz/sbirka/sbsrv.dll/sb?DR=SB&amp;CP=1997s077" TargetMode="External"/><Relationship Id="rId113" Type="http://schemas.openxmlformats.org/officeDocument/2006/relationships/hyperlink" Target="https://esipa.cz/sbirka/sbsrv.dll/sb?DR=SB&amp;CP=1997s151" TargetMode="External"/><Relationship Id="rId114" Type="http://schemas.openxmlformats.org/officeDocument/2006/relationships/hyperlink" Target="https://esipa.cz/sbirka/sbsrv.dll/sb?DR=SB&amp;CP=1990s526" TargetMode="External"/><Relationship Id="rId115" Type="http://schemas.openxmlformats.org/officeDocument/2006/relationships/hyperlink" Target="https://esipa.cz/sbirka/sbsrv.dll/sb?DR=SB&amp;CP=2001s246" TargetMode="External"/><Relationship Id="rId116" Type="http://schemas.openxmlformats.org/officeDocument/2006/relationships/hyperlink" Target="https://esipa.cz/sbirka/sbsrv.dll/sb?DR=SB&amp;CP=2006s262" TargetMode="External"/><Relationship Id="rId117" Type="http://schemas.openxmlformats.org/officeDocument/2006/relationships/hyperlink" Target="https://esipa.cz/sbirka/sbsrv.dll/sb?DR=AZ&amp;CP=2006s183-2012s350#C03_H01_P019" TargetMode="External"/><Relationship Id="rId118" Type="http://schemas.openxmlformats.org/officeDocument/2006/relationships/hyperlink" Target="https://esipa.cz/sbirka/sbsrv.dll/sb?DR=SB&amp;CP=2006s183" TargetMode="External"/><Relationship Id="rId119" Type="http://schemas.openxmlformats.org/officeDocument/2006/relationships/header" Target="header1.xml"/><Relationship Id="rId1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350/2012 Sb. z 1. 1. 2013</dc:title>
  <dc:description>Zákon o územním plánování a stavebním řádu (stavební zákon)</dc:description>
  <dc:subject/>
  <cp:keywords/>
  <cp:category/>
  <cp:lastModifiedBy/>
  <dcterms:created xsi:type="dcterms:W3CDTF">2013-01-01T00:00:00+01:00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