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 je-li stavebníkem společenství vlastníků jednotek, připojí také smlouvu o výstavbě nebo rozhodnutí shromáždění vlastníků jednotek přijaté podle zvláštního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t xml:space="preserve">Stavebník předloží stavebnímu úřadu spolu s oznámením o užívání stavby podle </w:t>
      </w:r>
      <w:r>
        <w:rPr/>
        <w:t xml:space="preserve">§ 120</w:t>
      </w:r>
      <w:r>
        <w:rPr/>
        <w:t xml:space="preserve"> odst. 1, popřípadě se žádostí o vydání kolaudačního souhlasu,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Nejsou-li splněny podmínky podle odstavce 1 pro povolení předčasného užívání stavby, stavební úřad žádost zamítne.</w:t>
      </w:r>
    </w:p>
    <w:p>
      <w:pPr>
        <w:ind w:left="0" w:right="0"/>
      </w:pPr>
      <w:r>
        <w:rPr>
          <w:b/>
          <w:bCs/>
        </w:rPr>
        <w:t xml:space="preserve">(3)</w:t>
      </w:r>
      <w:r>
        <w:rPr/>
        <w:t xml:space="preserve"> Po dokončení stavby se podle okolností postupuje podle </w:t>
      </w:r>
      <w:r>
        <w:rPr/>
        <w:t xml:space="preserve">§ 122</w:t>
      </w:r>
      <w:r>
        <w:rPr/>
        <w:t xml:space="preserve">, popřípadě podle </w:t>
      </w:r>
      <w:r>
        <w:rPr/>
        <w:t xml:space="preserve">§ 120</w:t>
      </w:r>
      <w:r>
        <w:rPr/>
        <w:t xml:space="preserve"> nebo 124.</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w:t>
      </w:r>
      <w:r>
        <w:rPr/>
        <w:t xml:space="preserve">§ 21</w:t>
      </w:r>
      <w:r>
        <w:rPr/>
        <w:t xml:space="preserve"> odst. 4, </w:t>
      </w:r>
      <w:r>
        <w:rPr/>
        <w:t xml:space="preserve">§ 26</w:t>
      </w:r>
      <w:r>
        <w:rPr/>
        <w:t xml:space="preserve"> odst. 2, </w:t>
      </w:r>
      <w:r>
        <w:rPr/>
        <w:t xml:space="preserve">§ 36</w:t>
      </w:r>
      <w:r>
        <w:rPr/>
        <w:t xml:space="preserve"> odst. 6, </w:t>
      </w:r>
      <w:r>
        <w:rPr/>
        <w:t xml:space="preserve">§ 38</w:t>
      </w:r>
      <w:r>
        <w:rPr/>
        <w:t xml:space="preserve"> odst. 6, </w:t>
      </w:r>
      <w:r>
        <w:rPr/>
        <w:t xml:space="preserve">§ 40</w:t>
      </w:r>
      <w:r>
        <w:rPr/>
        <w:t xml:space="preserve"> odst. 4, </w:t>
      </w:r>
      <w:r>
        <w:rPr/>
        <w:t xml:space="preserve">§ 42</w:t>
      </w:r>
      <w:r>
        <w:rPr/>
        <w:t xml:space="preserve"> odst. 4, </w:t>
      </w:r>
      <w:r>
        <w:rPr/>
        <w:t xml:space="preserve">§ 43</w:t>
      </w:r>
      <w:r>
        <w:rPr/>
        <w:t xml:space="preserve"> odst. 6, </w:t>
      </w:r>
      <w:r>
        <w:rPr/>
        <w:t xml:space="preserve">§ 47</w:t>
      </w:r>
      <w:r>
        <w:rPr/>
        <w:t xml:space="preserve"> odst. 6, </w:t>
      </w:r>
      <w:r>
        <w:rPr/>
        <w:t xml:space="preserve">§ 48</w:t>
      </w:r>
      <w:r>
        <w:rPr/>
        <w:t xml:space="preserve"> odst. 8, </w:t>
      </w:r>
      <w:r>
        <w:rPr/>
        <w:t xml:space="preserve">§ 51</w:t>
      </w:r>
      <w:r>
        <w:rPr/>
        <w:t xml:space="preserve"> odst. 4, </w:t>
      </w:r>
      <w:r>
        <w:rPr/>
        <w:t xml:space="preserve">§ 55</w:t>
      </w:r>
      <w:r>
        <w:rPr/>
        <w:t xml:space="preserve"> odst. 5, </w:t>
      </w:r>
      <w:r>
        <w:rPr/>
        <w:t xml:space="preserve">§ 61</w:t>
      </w:r>
      <w:r>
        <w:rPr/>
        <w:t xml:space="preserve"> odst. 4, </w:t>
      </w:r>
      <w:r>
        <w:rPr/>
        <w:t xml:space="preserve">§ 64</w:t>
      </w:r>
      <w:r>
        <w:rPr/>
        <w:t xml:space="preserve"> odst. 6, </w:t>
      </w:r>
      <w:r>
        <w:rPr/>
        <w:t xml:space="preserve">§ 66</w:t>
      </w:r>
      <w:r>
        <w:rPr/>
        <w:t xml:space="preserve"> odst. 6, </w:t>
      </w:r>
      <w:r>
        <w:rPr/>
        <w:t xml:space="preserve">§ 78</w:t>
      </w:r>
      <w:r>
        <w:rPr/>
        <w:t xml:space="preserve"> odst. 4, </w:t>
      </w:r>
      <w:r>
        <w:rPr/>
        <w:t xml:space="preserve">§ 86</w:t>
      </w:r>
      <w:r>
        <w:rPr/>
        <w:t xml:space="preserve"> odst. 6, </w:t>
      </w:r>
      <w:r>
        <w:rPr/>
        <w:t xml:space="preserve">§ 87</w:t>
      </w:r>
      <w:r>
        <w:rPr/>
        <w:t xml:space="preserve"> odst. 4, </w:t>
      </w:r>
      <w:r>
        <w:rPr/>
        <w:t xml:space="preserve">§ 92</w:t>
      </w:r>
      <w:r>
        <w:rPr/>
        <w:t xml:space="preserve"> odst. 5, </w:t>
      </w:r>
      <w:r>
        <w:rPr/>
        <w:t xml:space="preserve">§ 95</w:t>
      </w:r>
      <w:r>
        <w:rPr/>
        <w:t xml:space="preserve"> odst. 6, </w:t>
      </w:r>
      <w:r>
        <w:rPr/>
        <w:t xml:space="preserve">§ 96</w:t>
      </w:r>
      <w:r>
        <w:rPr/>
        <w:t xml:space="preserve"> odst. 8, </w:t>
      </w:r>
      <w:r>
        <w:rPr/>
        <w:t xml:space="preserve">§ 99</w:t>
      </w:r>
      <w:r>
        <w:rPr/>
        <w:t xml:space="preserve"> odst. 2, </w:t>
      </w:r>
      <w:r>
        <w:rPr/>
        <w:t xml:space="preserve">§ 100</w:t>
      </w:r>
      <w:r>
        <w:rPr/>
        <w:t xml:space="preserve"> odst. 3, </w:t>
      </w:r>
      <w:r>
        <w:rPr/>
        <w:t xml:space="preserve">§ 105</w:t>
      </w:r>
      <w:r>
        <w:rPr/>
        <w:t xml:space="preserve"> odst. 5, </w:t>
      </w:r>
      <w:r>
        <w:rPr/>
        <w:t xml:space="preserve">§ 110</w:t>
      </w:r>
      <w:r>
        <w:rPr/>
        <w:t xml:space="preserve"> odst. 5, </w:t>
      </w:r>
      <w:r>
        <w:rPr/>
        <w:t xml:space="preserve">§ 115</w:t>
      </w:r>
      <w:r>
        <w:rPr/>
        <w:t xml:space="preserve"> odst. 6, </w:t>
      </w:r>
      <w:r>
        <w:rPr/>
        <w:t xml:space="preserve">§ 116</w:t>
      </w:r>
      <w:r>
        <w:rPr/>
        <w:t xml:space="preserve"> odst. 1, </w:t>
      </w:r>
      <w:r>
        <w:rPr/>
        <w:t xml:space="preserve">§ 117</w:t>
      </w:r>
      <w:r>
        <w:rPr/>
        <w:t xml:space="preserve"> odst. 6, </w:t>
      </w:r>
      <w:r>
        <w:rPr/>
        <w:t xml:space="preserve">§ 120</w:t>
      </w:r>
      <w:r>
        <w:rPr/>
        <w:t xml:space="preserve"> odst. 5, </w:t>
      </w:r>
      <w:r>
        <w:rPr/>
        <w:t xml:space="preserve">§ 122</w:t>
      </w:r>
      <w:r>
        <w:rPr/>
        <w:t xml:space="preserve"> odst. 6, </w:t>
      </w:r>
      <w:r>
        <w:rPr/>
        <w:t xml:space="preserve">§ 125</w:t>
      </w:r>
      <w:r>
        <w:rPr/>
        <w:t xml:space="preserve"> odst. 6, </w:t>
      </w:r>
      <w:r>
        <w:rPr/>
        <w:t xml:space="preserve">§ 127</w:t>
      </w:r>
      <w:r>
        <w:rPr/>
        <w:t xml:space="preserve"> odst. 4, </w:t>
      </w:r>
      <w:r>
        <w:rPr/>
        <w:t xml:space="preserve">§ 128</w:t>
      </w:r>
      <w:r>
        <w:rPr/>
        <w:t xml:space="preserve"> odst. 7, </w:t>
      </w:r>
      <w:r>
        <w:rPr/>
        <w:t xml:space="preserve">§ 134</w:t>
      </w:r>
      <w:r>
        <w:rPr/>
        <w:t xml:space="preserve"> odst. 6, </w:t>
      </w:r>
      <w:r>
        <w:rPr/>
        <w:t xml:space="preserve">§ 138</w:t>
      </w:r>
      <w:r>
        <w:rPr/>
        <w:t xml:space="preserve"> odst. 5, </w:t>
      </w:r>
      <w:r>
        <w:rPr/>
        <w:t xml:space="preserve">§ 143</w:t>
      </w:r>
      <w:r>
        <w:rPr/>
        <w:t xml:space="preserve"> odst. 5, </w:t>
      </w:r>
      <w:r>
        <w:rPr/>
        <w:t xml:space="preserve">§ 150</w:t>
      </w:r>
      <w:r>
        <w:rPr/>
        <w:t xml:space="preserve"> odst. 3, </w:t>
      </w:r>
      <w:r>
        <w:rPr/>
        <w:t xml:space="preserve">§ 157</w:t>
      </w:r>
      <w:r>
        <w:rPr/>
        <w:t xml:space="preserve"> odst. 4, </w:t>
      </w:r>
      <w:r>
        <w:rPr/>
        <w:t xml:space="preserve">§ 162</w:t>
      </w:r>
      <w:r>
        <w:rPr/>
        <w:t xml:space="preserve">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3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1"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2"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4"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7" w:history="1">
        <w:r>
          <w:rPr>
            <w:color w:val="darkblue"/>
            <w:u w:val="single"/>
          </w:rPr>
          <w:t xml:space="preserve">§ 68</w:t>
        </w:r>
      </w:hyperlink>
      <w:r>
        <w:rPr>
          <w:sz w:val="19.200000000000003"/>
          <w:szCs w:val="19.200000000000003"/>
        </w:rPr>
        <w:t xml:space="preserve"> zákona č. </w:t>
      </w:r>
      <w:hyperlink r:id="rId105"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9"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0" w:history="1">
        <w:r>
          <w:rPr>
            <w:color w:val="darkblue"/>
            <w:u w:val="single"/>
          </w:rPr>
          <w:t xml:space="preserve">§ 58</w:t>
        </w:r>
      </w:hyperlink>
      <w:r>
        <w:rPr>
          <w:sz w:val="19.200000000000003"/>
          <w:szCs w:val="19.200000000000003"/>
        </w:rPr>
        <w:t xml:space="preserve"> a </w:t>
      </w:r>
      <w:hyperlink r:id="rId111"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3"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5" w:history="1">
        <w:r>
          <w:rPr>
            <w:color w:val="darkblue"/>
            <w:u w:val="single"/>
          </w:rPr>
          <w:t xml:space="preserve">§ 36</w:t>
        </w:r>
      </w:hyperlink>
      <w:r>
        <w:rPr>
          <w:sz w:val="19.200000000000003"/>
          <w:szCs w:val="19.200000000000003"/>
        </w:rPr>
        <w:t xml:space="preserve"> zákona č. </w:t>
      </w:r>
      <w:hyperlink r:id="rId116"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7"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18"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19"/>
      <w:footerReference w:type="default" r:id="rId1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379/2009 Sb. z </w:t>
          </w:r>
          <w:r>
            <w:rPr>
              <w:rStyle w:val="bold"/>
            </w:rPr>
            <w:t xml:space="preserve">2. 1. 2010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018" TargetMode="External"/><Relationship Id="rId102" Type="http://schemas.openxmlformats.org/officeDocument/2006/relationships/hyperlink" Target="https://esipa.cz/sbirka/sbsrv.dll/sb?DR=SB&amp;CP=2004s634"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1992s360#C04_P022"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1994s200" TargetMode="External"/><Relationship Id="rId107" Type="http://schemas.openxmlformats.org/officeDocument/2006/relationships/hyperlink" Target="https://esipa.cz/sbirka/sbsrv.dll/sb?DR=SB&amp;CP=2004s499#C01_H03_P068" TargetMode="External"/><Relationship Id="rId108" Type="http://schemas.openxmlformats.org/officeDocument/2006/relationships/hyperlink" Target="https://esipa.cz/sbirka/sbsrv.dll/sb?DR=SB&amp;CP=2006s184" TargetMode="External"/><Relationship Id="rId109" Type="http://schemas.openxmlformats.org/officeDocument/2006/relationships/hyperlink" Target="https://esipa.cz/sbirka/sbsrv.dll/sb?DR=SB&amp;CP=2004s500#C02_H02_D003_P015" TargetMode="External"/><Relationship Id="rId110" Type="http://schemas.openxmlformats.org/officeDocument/2006/relationships/hyperlink" Target="https://esipa.cz/sbirka/sbsrv.dll/sb?DR=SB&amp;CP=2004s500#C02_H06_D004_P058" TargetMode="External"/><Relationship Id="rId111" Type="http://schemas.openxmlformats.org/officeDocument/2006/relationships/hyperlink" Target="https://esipa.cz/sbirka/sbsrv.dll/sb?DR=SB&amp;CP=2004s500#C02_H06_D004_P062" TargetMode="External"/><Relationship Id="rId112" Type="http://schemas.openxmlformats.org/officeDocument/2006/relationships/hyperlink" Target="https://esipa.cz/sbirka/sbsrv.dll/sb?DR=SB&amp;CP=2000s240" TargetMode="External"/><Relationship Id="rId113" Type="http://schemas.openxmlformats.org/officeDocument/2006/relationships/hyperlink" Target="https://esipa.cz/sbirka/sbsrv.dll/sb?DR=SB&amp;CP=1991s513#C01_H01_D01_P002" TargetMode="External"/><Relationship Id="rId114" Type="http://schemas.openxmlformats.org/officeDocument/2006/relationships/hyperlink" Target="https://esipa.cz/sbirka/sbsrv.dll/sb?DR=SB&amp;CP=1992s337" TargetMode="External"/><Relationship Id="rId115" Type="http://schemas.openxmlformats.org/officeDocument/2006/relationships/hyperlink" Target="https://esipa.cz/sbirka/sbsrv.dll/sb?DR=SB&amp;CP=1997s049#C04_P036" TargetMode="External"/><Relationship Id="rId116" Type="http://schemas.openxmlformats.org/officeDocument/2006/relationships/hyperlink" Target="https://esipa.cz/sbirka/sbsrv.dll/sb?DR=SB&amp;CP=1997s049" TargetMode="External"/><Relationship Id="rId117" Type="http://schemas.openxmlformats.org/officeDocument/2006/relationships/hyperlink" Target="https://esipa.cz/sbirka/sbsrv.dll/sb?DR=SB&amp;CP=2000s227" TargetMode="External"/><Relationship Id="rId118" Type="http://schemas.openxmlformats.org/officeDocument/2006/relationships/hyperlink" Target="https://esipa.cz/soubor/eaec72022d7d9d12a1eec95dab52083997a685406725eb435bcd96031e193b182c75ca3c7261f10ea5e2c78dcbad364dd089754e0b3212136d69873be4f1f1dd/2006s183p01.pdf" TargetMode="External"/><Relationship Id="rId119" Type="http://schemas.openxmlformats.org/officeDocument/2006/relationships/header" Target="header1.xml"/><Relationship Id="rId1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379/2009 Sb. z 2. 1. 2010</dc:title>
  <dc:description>Zákon o územním plánování a stavebním řádu (stavební zákon)</dc:description>
  <dc:subject/>
  <cp:keywords/>
  <cp:category/>
  <cp:lastModifiedBy/>
  <dcterms:created xsi:type="dcterms:W3CDTF">2010-01-02T00:00:00+01:00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