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 do výšky 1,8 m, které nehraničí s veřejnými pozemními komunikacemi a veřejným prostranstvím</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w:t>
      </w:r>
      <w:r>
        <w:rPr/>
        <w:t xml:space="preserve">§ 111</w:t>
      </w:r>
      <w:r>
        <w:rPr/>
        <w:t xml:space="preserve"> odst. 1 a 2 a že navrhovaná stavba může být provedena. Na projektové dokumentaci tuto skutečnost vyznačí, uvede své jméno a příjmení, datum vydání certifikátu a opatří ji svým podpisem a razítkem. K certifikátu připojí návrh plánu kontrolních prohlídek stavby, závazná stanoviska dotčených orgánů a vyjádření osob, které by byly účastníky stavebního řízení (</w:t>
      </w:r>
      <w:r>
        <w:rPr/>
        <w:t xml:space="preserve">§ 109</w:t>
      </w:r>
      <w:r>
        <w:rPr/>
        <w:t xml:space="preserve">).</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může ministr pro místní rozvoj, po vyjádření České komory architektů nebo České komory autorizovaných inženýrů a techniků činných ve výstavbě (dále jen „Komora“), jmenovat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0" w:right="0"/>
      </w:pPr>
      <w:r>
        <w:rPr>
          <w:b/>
          <w:bCs/>
        </w:rPr>
        <w:t xml:space="preserve">(2)</w:t>
      </w:r>
      <w:r>
        <w:rPr/>
        <w:t xml:space="preserve"> Za podmínek stanovených v odstavci 1 písm. a), b), d) a e)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může být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w:t>
      </w:r>
      <w:r>
        <w:rPr/>
        <w:t xml:space="preserve">§ 143</w:t>
      </w:r>
      <w:r>
        <w:rPr/>
        <w:t xml:space="preserve"> odst. 1 a 2. Při podání žádosti o souhlas je žadatel povinen zaplatit správní poplatek podle zvláštního právního předpisu</w:t>
      </w:r>
      <w:r>
        <w:rPr>
          <w:vertAlign w:val="superscript"/>
        </w:rPr>
        <w:t xml:space="preserve">46</w:t>
      </w:r>
      <w:r>
        <w:rPr/>
        <w:t xml:space="preserve">)</w:t>
      </w:r>
      <w:r>
        <w:rPr/>
        <w:t xml:space="preserve">.</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3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schválenou po 1. červenci 1992 nahradí obec do 5 let ode dne nabytí účinnosti tohoto zákona územním plánem nebo regulačním plánem. Marným uplynutím stanovené lhůty pozbývá tato územně plánovací dokumentace platnosti. Tato lhůta neběží v případě řešení rozporů při pořizování nového územního plánu nebo regulačního plánu.</w:t>
      </w:r>
    </w:p>
    <w:p>
      <w:pPr>
        <w:ind w:left="0" w:right="0"/>
      </w:pPr>
      <w:r>
        <w:rPr>
          <w:b/>
          <w:bCs/>
        </w:rPr>
        <w:t xml:space="preserve">(2)</w:t>
      </w:r>
      <w:r>
        <w:rPr/>
        <w:t xml:space="preserve"> Územní plán obce a regulační plán schválený po 1. červenci 1998 lze do 5 let po dni nabytí účinnosti tohoto zákona podle něj upravit, v rozsahu provedené úpravy projednat a vydat, jinak pozbývá platnosti. V případě řešení rozporu tato lhůta neběží. Pokud územní plány obcí a regulační plány schválené přede dnem nabytí účinnosti tohoto zákona a právní předpisy, jimiž byly vyhlášeny, nebyly nahrazeny vydanými územními plány a regulačními plány, pozbývají platnosti uplynutím 5 let ode dne nabytí účinnosti tohoto zákona.</w:t>
      </w:r>
    </w:p>
    <w:p>
      <w:pPr>
        <w:ind w:left="0" w:right="0"/>
      </w:pPr>
      <w:r>
        <w:rPr>
          <w:b/>
          <w:bCs/>
        </w:rPr>
        <w:t xml:space="preserve">(3)</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dosavadních právních předpisů.</w:t>
      </w:r>
    </w:p>
    <w:p>
      <w:pPr>
        <w:ind w:left="0" w:right="0"/>
      </w:pPr>
      <w:r>
        <w:rPr>
          <w:b/>
          <w:bCs/>
        </w:rPr>
        <w:t xml:space="preserve">(4)</w:t>
      </w:r>
      <w:r>
        <w:rPr/>
        <w:t xml:space="preserve"> Při projednání a vydání návrhu změny územního plánu obce, regulačního plánu nebo územně plánovací dokumentace sídelního útvaru nebo zóny schválené přede dnem nabytí účinnosti tohoto zákona se postupuje podle tohoto zákona. O úpravě směrné části této dokumentace rozhoduje pro své území obecní úřad, v ostatních případech úřad územního plánování. Při úpravě se postupuje podle dosavadních právních předpisů.</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1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2"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5"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6" w:history="1">
        <w:r>
          <w:rPr>
            <w:color w:val="darkblue"/>
            <w:u w:val="single"/>
          </w:rPr>
          <w:t xml:space="preserve">§ 68</w:t>
        </w:r>
      </w:hyperlink>
      <w:r>
        <w:rPr>
          <w:sz w:val="19.200000000000003"/>
          <w:szCs w:val="19.200000000000003"/>
        </w:rPr>
        <w:t xml:space="preserve"> zákona č. </w:t>
      </w:r>
      <w:hyperlink r:id="rId104"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7"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8"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9" w:history="1">
        <w:r>
          <w:rPr>
            <w:color w:val="darkblue"/>
            <w:u w:val="single"/>
          </w:rPr>
          <w:t xml:space="preserve">§ 58</w:t>
        </w:r>
      </w:hyperlink>
      <w:r>
        <w:rPr>
          <w:sz w:val="19.200000000000003"/>
          <w:szCs w:val="19.200000000000003"/>
        </w:rPr>
        <w:t xml:space="preserve"> a </w:t>
      </w:r>
      <w:hyperlink r:id="rId110"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2"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4" w:history="1">
        <w:r>
          <w:rPr>
            <w:color w:val="darkblue"/>
            <w:u w:val="single"/>
          </w:rPr>
          <w:t xml:space="preserve">§ 36</w:t>
        </w:r>
      </w:hyperlink>
      <w:r>
        <w:rPr>
          <w:sz w:val="19.200000000000003"/>
          <w:szCs w:val="19.200000000000003"/>
        </w:rPr>
        <w:t xml:space="preserve"> zákona č. </w:t>
      </w:r>
      <w:hyperlink r:id="rId115"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6"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7" w:history="1">
        <w:r>
          <w:rPr>
            <w:color w:val="blue"/>
          </w:rPr>
          <w:t xml:space="preserve">Příloha PDF (86 kB)</w:t>
        </w:r>
      </w:hyperlink>
    </w:p>
    <w:sectPr>
      <w:headerReference w:type="default" r:id="rId118"/>
      <w:footerReference w:type="default" r:id="rId1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68/2007 Sb. z </w:t>
          </w:r>
          <w:r>
            <w:rPr>
              <w:rStyle w:val="bold"/>
            </w:rPr>
            <w:t xml:space="preserve">4. 4. 2007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634" TargetMode="External"/><Relationship Id="rId102" Type="http://schemas.openxmlformats.org/officeDocument/2006/relationships/hyperlink" Target="https://esipa.cz/sbirka/sbsrv.dll/sb?DR=SB&amp;CP=1992s360#C04_P022"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2004s499" TargetMode="External"/><Relationship Id="rId105" Type="http://schemas.openxmlformats.org/officeDocument/2006/relationships/hyperlink" Target="https://esipa.cz/sbirka/sbsrv.dll/sb?DR=SB&amp;CP=1994s200" TargetMode="External"/><Relationship Id="rId106" Type="http://schemas.openxmlformats.org/officeDocument/2006/relationships/hyperlink" Target="https://esipa.cz/sbirka/sbsrv.dll/sb?DR=SB&amp;CP=2004s499#C01_H03_P068" TargetMode="External"/><Relationship Id="rId107" Type="http://schemas.openxmlformats.org/officeDocument/2006/relationships/hyperlink" Target="https://esipa.cz/sbirka/sbsrv.dll/sb?DR=SB&amp;CP=2006s184" TargetMode="External"/><Relationship Id="rId108" Type="http://schemas.openxmlformats.org/officeDocument/2006/relationships/hyperlink" Target="https://esipa.cz/sbirka/sbsrv.dll/sb?DR=SB&amp;CP=2004s500#C02_H02_D003_P015" TargetMode="External"/><Relationship Id="rId109" Type="http://schemas.openxmlformats.org/officeDocument/2006/relationships/hyperlink" Target="https://esipa.cz/sbirka/sbsrv.dll/sb?DR=SB&amp;CP=2004s500#C02_H06_D004_P058" TargetMode="External"/><Relationship Id="rId110" Type="http://schemas.openxmlformats.org/officeDocument/2006/relationships/hyperlink" Target="https://esipa.cz/sbirka/sbsrv.dll/sb?DR=SB&amp;CP=2004s500#C02_H06_D004_P062" TargetMode="External"/><Relationship Id="rId111" Type="http://schemas.openxmlformats.org/officeDocument/2006/relationships/hyperlink" Target="https://esipa.cz/sbirka/sbsrv.dll/sb?DR=SB&amp;CP=2000s240" TargetMode="External"/><Relationship Id="rId112" Type="http://schemas.openxmlformats.org/officeDocument/2006/relationships/hyperlink" Target="https://esipa.cz/sbirka/sbsrv.dll/sb?DR=SB&amp;CP=1991s513#C01_H01_D01_P002" TargetMode="External"/><Relationship Id="rId113" Type="http://schemas.openxmlformats.org/officeDocument/2006/relationships/hyperlink" Target="https://esipa.cz/sbirka/sbsrv.dll/sb?DR=SB&amp;CP=1992s337" TargetMode="External"/><Relationship Id="rId114" Type="http://schemas.openxmlformats.org/officeDocument/2006/relationships/hyperlink" Target="https://esipa.cz/sbirka/sbsrv.dll/sb?DR=SB&amp;CP=1997s049#C04_P036" TargetMode="External"/><Relationship Id="rId115" Type="http://schemas.openxmlformats.org/officeDocument/2006/relationships/hyperlink" Target="https://esipa.cz/sbirka/sbsrv.dll/sb?DR=SB&amp;CP=1997s049" TargetMode="External"/><Relationship Id="rId116" Type="http://schemas.openxmlformats.org/officeDocument/2006/relationships/hyperlink" Target="https://esipa.cz/sbirka/sbsrv.dll/sb?DR=SB&amp;CP=2000s227" TargetMode="External"/><Relationship Id="rId117" Type="http://schemas.openxmlformats.org/officeDocument/2006/relationships/hyperlink" Target="https://esipa.cz/soubor/eaec72022d7d9d12a1eec95dab52083997a685406725eb435bcd96031e193b182c75ca3c7261f10ea5e2c78dcbad364dd089754e0b3212136d69873be4f1f1dd/2006s183p01.pdf" TargetMode="External"/><Relationship Id="rId118" Type="http://schemas.openxmlformats.org/officeDocument/2006/relationships/header" Target="header1.xml"/><Relationship Id="rId1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68/2007 Sb. z 4. 4. 2007</dc:title>
  <dc:description>Zákon o územním plánování a stavebním řádu (stavební zákon)</dc:description>
  <dc:subject/>
  <cp:keywords/>
  <cp:category/>
  <cp:lastModifiedBy/>
  <dcterms:created xsi:type="dcterms:W3CDTF">2007-04-04T00:00:00+02:00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