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Nezákonné závazné stanovisko dotčeného orgánu, vydané pro účely řízení podle tohoto zákona, lze zrušit nebo změnit správním orgánem nadřízeným dotčenému orgánu pouze v rámci odvolacího řízení proti rozhodnutí, které bylo závazným stanoviskem podmíněno, postupem podle § 149 odst. 4 správního řádu. Na postup nadřízeného správního orgánu se přiměřeně použijí ustanovení o přezkumném řízení podle § 94 a násl. správního řádu, včetně lhůt podle § 96, s tím, že lhůta jednoho roku se počítá ode dne vydání závazného stanoviska dotčeného orgánu.</w:t>
      </w:r>
    </w:p>
    <w:p>
      <w:pPr>
        <w:ind w:left="0" w:right="0"/>
      </w:pPr>
      <w:r>
        <w:rPr>
          <w:b/>
          <w:bCs/>
        </w:rPr>
        <w:t xml:space="preserve">(10)</w:t>
      </w:r>
      <w:r>
        <w:rPr/>
        <w:t xml:space="preserve">  Nezákonné závazné stanovisko nadřízeného správního orgánu lze zrušit nebo změnit v přezkumném řízení, k němuž je příslušný nadřízený správní orgán správního orgánu, který vydal závazné stanovisko. Na postup nadřízeného správního orgánu se přiměřeně použijí ustanovení o přezkumném řízení podle § 94 a násl. správního řádu, včetně lhůt podle § 96, s tím, že lhůta jednoho roku se počítá ode dne vydání závazného stanoviska správního orgánu nadřízeného dotčenému orgánu.</w:t>
      </w:r>
    </w:p>
    <w:p>
      <w:pPr>
        <w:ind w:left="0" w:right="0"/>
      </w:pPr>
      <w:r>
        <w:rPr>
          <w:b/>
          <w:bCs/>
        </w:rPr>
        <w:t xml:space="preserve">(11)</w:t>
      </w:r>
      <w:r>
        <w:rPr/>
        <w:t xml:space="preserve">  Zrušení nebo změna závazného stanoviska správního orgánu nadřízeného dotčenému orgánu v případě, že rozhodnutí, které bylo podmíněno závazným stanoviskem dotčeného orgánu, o jehož zrušení nebo změně nadřízený správní orgán rozhodl, a které současně založilo jeho adresátům právo podle tohoto zákona a již nabylo právní moci, není důvodem obnovy řízení.</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v areálu jaderného zařízení</w:t>
      </w:r>
      <w:r>
        <w:rPr>
          <w:vertAlign w:val="superscript"/>
        </w:rPr>
        <w:t xml:space="preserve">10</w:t>
      </w:r>
      <w:r>
        <w:rPr/>
        <w:t xml:space="preserve">),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w:t>
      </w:r>
    </w:p>
    <w:p>
      <w:pPr>
        <w:ind w:left="0" w:right="0"/>
      </w:pPr>
      <w:r>
        <w:rPr>
          <w:b/>
          <w:bCs/>
        </w:rPr>
        <w:t xml:space="preserve">(5)</w:t>
      </w:r>
      <w:r>
        <w:rPr/>
        <w:t xml:space="preserve">  V pochybnostech, zda se v konkrétním případě jedná o stavbu podle odstavce  2 nebo 3,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předmět ochrany a celistvost evropsky významné lokality nebo ptačí oblasti.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20a</w:t>
      </w:r>
      <w:r>
        <w:rPr>
          <w:rStyle w:val="hidden"/>
        </w:rPr>
        <w:t xml:space="preserve"> -</w:t>
      </w:r>
      <w:br/>
      <w:r>
        <w:rPr/>
        <w:t xml:space="preserve">Jednotný standard územně plánovací dokumentace</w:t>
      </w:r>
    </w:p>
    <w:p>
      <w:pPr>
        <w:ind w:left="0" w:right="0"/>
      </w:pPr>
      <w:r>
        <w:rPr>
          <w:b/>
          <w:bCs/>
        </w:rPr>
        <w:t xml:space="preserve">(1)</w:t>
      </w:r>
      <w:r>
        <w:rPr/>
        <w:t xml:space="preserve"> 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 včetně prostorových dat</w:t>
      </w:r>
      <w:r>
        <w:rPr>
          <w:vertAlign w:val="superscript"/>
        </w:rPr>
        <w:t xml:space="preserve">74</w:t>
      </w:r>
      <w:r>
        <w:rPr/>
        <w:t xml:space="preserve">) ve vektorové formě.</w:t>
      </w:r>
    </w:p>
    <w:p>
      <w:pPr>
        <w:ind w:left="0" w:right="0"/>
      </w:pPr>
      <w:r>
        <w:rPr>
          <w:b/>
          <w:bCs/>
        </w:rPr>
        <w:t xml:space="preserve">(2)</w:t>
      </w:r>
      <w:r>
        <w:rPr/>
        <w:t xml:space="preserve">  Vybrané části územně plánovací dokumentace, její aktualizace nebo změny a úplné znění územně plánovací dokumentace se zpracovávají v jednotném standardu.</w:t>
      </w:r>
    </w:p>
    <w:p>
      <w:pPr>
        <w:ind w:left="0" w:right="0"/>
      </w:pPr>
      <w:r>
        <w:rPr>
          <w:b/>
          <w:bCs/>
        </w:rPr>
        <w:t xml:space="preserve">(3)</w:t>
      </w:r>
      <w:r>
        <w:rPr/>
        <w:t xml:space="preserve">  Jednotný standard územně plánovací dokumentace stanoví standardizované části územně plánovací dokumentace a požadavky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strukturu standardizovaných částí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grafické vyjádření standardizovaných částí územně plánovací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výměnný formát dat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metadata.</w:t>
      </w:r>
    </w:p>
    <w:p>
      <w:pPr>
        <w:ind w:left="0" w:right="0"/>
      </w:pPr>
      <w:r>
        <w:rPr>
          <w:b/>
          <w:bCs/>
        </w:rPr>
        <w:t xml:space="preserve">(4)</w:t>
      </w:r>
      <w:r>
        <w:rPr/>
        <w:t xml:space="preserve">  Podrobnosti jednotného standardu územně plánovací dokumentace podle odstavce  3 stanoví prováděcí právní předpis.</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8"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(7)</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se schválenou politikou územního rozvoje. Do té doby nelze rozhodovat a postupovat podle částí zásad územního rozvoje, které jsou v rozporu se schválenou politikou územního rozvoje.</w:t>
      </w:r>
    </w:p>
    <w:p>
      <w:pPr>
        <w:ind w:left="0" w:right="0"/>
      </w:pPr>
      <w:r>
        <w:rPr>
          <w:b/>
          <w:bCs/>
        </w:rPr>
        <w:t xml:space="preserve">(5)</w:t>
      </w:r>
      <w:r>
        <w:rPr/>
        <w:t xml:space="preserve"> Zásady územního rozvoje nelze změnit rozhodnutím podle </w:t>
      </w:r>
      <w:hyperlink r:id="rId9"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a § 42c; to neplatí při aktualizaci nevyžadující zpracování variant řešení, při které se postupuje obdobně podle § 42a až 42c.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na žádost kraje uhradí takto vyvolané náklady uvedené v § 42a odst. 2 písm. f) ten, v jehož prospěch nebo na jehož návrh byl záměr vymezen,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při pořizování aktualizace nevyžadující zpracování variant řešení. Zkrácený postup navazuje na zprávu o uplatňování zásad územního rozvoje v uplynulém období, nebo na rozhodnutí zastupitelstva kraje o pořízení aktualizace zásad územního rozvoje a o jejím obsahu, v druhém případě se zpráva o uplatňování nepořizuje.</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 Pokud z těchto stanovisek vyplynul požadavek na zpracování variant řešení, nelze aktualizaci pořizovat zkráceným postupem; za variantu řešení se pro účely tohoto zákona nepovažuje současný stav.</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o pořízení, nebo na základě zprávy o uplatňování zásad územního rozvoje v uplynulém období, ve kterých zastupitelstvo výslovně uvede, že aktualizace bude pořizována zkráceným způsobem,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Pokud nezašle stanovisko do 30 dnů od obdržení návrhu aktualizace zásad územního rozvoje, stanovisek,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Při pořizování a vydání aktualizace zásad územního rozvoje se dále postupuje obdobně podle § 39 odst. 4 až 6, § 40 a 41. Krajský úřad zajistí vyhotovení úplného znění zásad územního rozvoje po poslední aktualizaci a toto vyhotovení po nabytí účinnosti aktualizace opatří záznamem o účinnosti.</w:t>
      </w:r>
    </w:p>
    <w:p>
      <w:pPr>
        <w:pStyle w:val="Heading6"/>
      </w:pPr>
      <w:r>
        <w:rPr>
          <w:b/>
          <w:bCs/>
        </w:rPr>
        <w:t xml:space="preserve">§ 42c</w:t>
      </w:r>
      <w:r>
        <w:rPr>
          <w:rStyle w:val="hidden"/>
        </w:rPr>
        <w:t xml:space="preserve"> -</w:t>
      </w:r>
      <w:br/>
      <w:r>
        <w:rPr/>
        <w:t xml:space="preserve">Nabytí účinnosti aktualizace zásad územního rozvoje</w:t>
      </w:r>
    </w:p>
    <w:p>
      <w:pPr>
        <w:jc w:val="center"/>
        <w:ind w:left="0" w:right="0"/>
      </w:pPr>
      <w:r>
        <w:rPr/>
        <w:t xml:space="preserve">Aktualizaci zásad územního rozvoje a úplné znění zásad územního rozvoje po této aktualizaci kraj doručí veřejnou vyhláškou; dnem doručení aktualizace zásad územního rozvoje a úplného znění nabývá aktualizace účinnosti.</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Pro územní rezervy se použije § 36 odst. 1 obdobně.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1 a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a schválenou politikou územního rozvoje. Do té doby nelze rozhodovat podle částí územního plánu, které jsou v rozporu s územně plánovací dokumentací vydanou krajem nebo s politikou územního rozvoje.</w:t>
      </w:r>
    </w:p>
    <w:p>
      <w:pPr>
        <w:ind w:left="0" w:right="0"/>
      </w:pPr>
      <w:r>
        <w:rPr>
          <w:b/>
          <w:bCs/>
        </w:rPr>
        <w:t xml:space="preserve">(7)</w:t>
      </w:r>
      <w:r>
        <w:rPr/>
        <w:t xml:space="preserve">  Územní plán nelze změnit rozhodnutím podle § 97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při pořizování změny nevyžadující zpracování variant řešení. Zkrácený postup navazuje na zprávu o uplatňování územního plánu v uplynulém období, nebo na rozhodnutí zastupitelstva obce o pořízení změny územního plánu a o jejím obsahu; v druhém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 Pokud z těchto stanovisek vyplynul požadavek na zpracování variant řešení, nelze změnu územního plánu pořizovat zkráceným postupem; za variantu řešení se pro účely tohoto zákona nepovažuje současný stav.</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o pořízení změny územního plánu, nebo na základě zprávy o uplatňování územního plánu v uplynulém období, ve kterých zastupitelstvo výslovně uvede, že změna bude pořizována zkráceným způsobem,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a s výjimkou změny územního plánu pro území hlavního města Prahy souladu s územně plánovací dokumentací vydanou krajem. Pokud neuplatní stanovisko do 30 dnů od obdržení návrhu změny územního plánu, stanovisek,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Při pořizování a vydání změny územního plánu se dále postupuje obdobně podle § 53, 54 a § 55 odst. 4 a 5.</w:t>
      </w:r>
    </w:p>
    <w:p>
      <w:pPr>
        <w:pStyle w:val="Heading6"/>
      </w:pPr>
      <w:r>
        <w:rPr>
          <w:b/>
          <w:bCs/>
        </w:rPr>
        <w:t xml:space="preserve">§ 55c</w:t>
      </w:r>
      <w:r>
        <w:rPr>
          <w:rStyle w:val="hidden"/>
        </w:rPr>
        <w:t xml:space="preserve"> -</w:t>
      </w:r>
      <w:br/>
      <w:r>
        <w:rPr/>
        <w:t xml:space="preserve">Nabytí účinnosti změny územního plánu</w:t>
      </w:r>
    </w:p>
    <w:p>
      <w:pPr>
        <w:jc w:val="center"/>
        <w:ind w:left="0" w:right="0"/>
      </w:pPr>
      <w:r>
        <w:rPr/>
        <w:t xml:space="preserve">Změnu územního plánu a úplné znění územního plánu po této změně obec doručí veřejnou vyhláškou; dnem doručení změny územního plánu a úplného znění nabývá změna účinnosti.</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 Pokud regulační plán vymezuje územní rezervu, použije se pro ni ustanovení § 36 odst. 1 obdobně.</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9"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při pořizování změny nevyžadující zpracování variant řešení.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o pořízení změny regulačního plánu a jejím obsahu, ve kterém zastupitelstvo výslovně uvede, že změna bude pořizována zkráceným způsobem,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Při pořizování a vydání změny regulačního plánu se dále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r>
        <w:rPr>
          <w:rStyle w:val="hidden"/>
        </w:rPr>
        <w:t xml:space="preserve"> -</w:t>
      </w:r>
      <w:br/>
      <w:r>
        <w:rPr/>
        <w:t xml:space="preserve">Nabytí účinnosti změny regulačního plánu</w:t>
      </w:r>
    </w:p>
    <w:p>
      <w:pPr>
        <w:jc w:val="center"/>
        <w:ind w:left="0" w:right="0"/>
      </w:pPr>
      <w:r>
        <w:rPr/>
        <w:t xml:space="preserve">Změnu regulačního plánu a úplné znění regulačního plánu po této změně příslušná obec nebo kraj doručí veřejnou vyhláškou; dnem doručení změny regulačního plánu a úplného znění nabývá změna účinnosti.</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 pokud nedochází k překročení hranice stávajícího ochranného nebo bezpečnostního pásma,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0"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1"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e)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 16 odst. 2 písm. d) lze vydat společné povolení. Příslušným k vydání společného povolení je stavební úřad příslušný k povolení stavby podle § 13 odst. 1, § 15 odst. 1 písm. b) až d) nebo § 16 odst. 2 písm. d).</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 16 odst. 2 písm. d)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 16 odst. 2 písm. d)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 16 odst. 2 písm. d)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 16 odst. 2 písm. d).</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odst. 2 a 3 nebo podle zvláštního zákona závisí na posouzení jím vyvolané změny v území, je podkladem tohoto rozhodnutí nebo jiného úkonu závazné stanovisko orgánu územního plánování. Závazné stanovisko orgánu územního plánování se nevydává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záměry uvedené v § 80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záměry uvedené v § 103 odst. 1 písm. c) až e), které nezasahují do nezastavěného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a scelování pozemků v nezastavěném území, nejedná-li se o pozemkové úpravy</w:t>
      </w:r>
      <w:r>
        <w:rPr>
          <w:vertAlign w:val="superscript"/>
        </w:rPr>
        <w:t xml:space="preserve">33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studny individuálního zásobování vodou,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nebo zařízení na zastavěných stavebních pozemcích rodinných domů související s bydlením či bydlení podmiňující a terénní úpravy potřebné k řádnému a bezpečnému užívání těchto pozemků, staveb a zařízení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pro podnikatelskou činnost do 25 m</w:t>
      </w:r>
      <w:r>
        <w:rPr>
          <w:vertAlign w:val="superscript"/>
        </w:rPr>
        <w:t xml:space="preserve">2</w:t>
      </w:r>
      <w:r>
        <w:rPr/>
        <w:t xml:space="preserve"> zastavěné plochy a do 5 m výšky s jedním nadzemním podlažím, podsklepené nejvýše do hloubky 3 m na zastavěných stavebních pozemcích rodinných domů,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nebo zařízení na zastavěných stavebních pozemcích staveb pro rodinnou rekreaci související s rodinnou rekreací či rodinnou rekreaci podmiňující a terénní úpravy potřebné k řádnému a bezpečnému užívání těchto pozemků, staveb a zařízení na nich.</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může stanovit podmínky pro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orgán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2"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a zařízení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(9)</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u které postačí ohlášení stavebnímu úřadu podle § 104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vodní dílo podle § 15a odst. 3 vodního zákona,</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0"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je stavba provedena, není-li stavebníkem a může-li být jeho vlastnické právo kolaudačním rozhodnutím přímo dotčeno.</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ind w:left="0" w:right="0"/>
      </w:pPr>
      <w:r>
        <w:rPr>
          <w:b/>
          <w:bCs/>
        </w:rPr>
        <w:t xml:space="preserve">(5)</w:t>
      </w:r>
      <w:r>
        <w:rPr/>
        <w:t xml:space="preserve">  Dokončení stavby, která byla prováděna na základě povolení vydaného podle tohoto zákona, ale nepodléhá kolaudaci, je stavebník povinen neprodleně ohlásit stavebnímu úřadu. Pokud je stavba předmětem evidence v katastru nemovitostí</w:t>
      </w:r>
      <w:r>
        <w:rPr>
          <w:vertAlign w:val="superscript"/>
        </w:rPr>
        <w:t xml:space="preserve">22</w:t>
      </w:r>
      <w:r>
        <w:rPr/>
        <w:t xml:space="preserve">) nebo její výstavbou dochází k rozdělení pozemku, doloží stavebník k ohlášení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w:t>
      </w:r>
      <w:hyperlink r:id="rId13" w:history="1">
        <w:r>
          <w:rPr>
            <w:color w:val="darkblue"/>
            <w:u w:val="single"/>
          </w:rPr>
          <w:t xml:space="preserve">§ 15a</w:t>
        </w:r>
      </w:hyperlink>
      <w:r>
        <w:rPr/>
        <w:t xml:space="preserve"> odst.  1 nebo 3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územně plánovací dokumentace zpracovává a pořizovateli předává vybrané části územně plánovací dokumentace v jednotném standardu.</w:t>
      </w:r>
    </w:p>
    <w:p>
      <w:pPr>
        <w:ind w:left="0" w:right="0"/>
      </w:pPr>
      <w:r>
        <w:rPr>
          <w:b/>
          <w:bCs/>
        </w:rPr>
        <w:t xml:space="preserve">(3)</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(4)</w:t>
      </w:r>
      <w:r>
        <w:rPr/>
        <w:t xml:space="preserve">  Dokumentaci ohlašovaných staveb uvedených v § 104 odst.  1 písm.  f) až i) a k) a terénních úprav podle § 15b odst. 1 vodního zákona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3.</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e)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jeho změnu, regulační plán, jeho změnu,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 včetně prostorových dat ve vektorové formě.</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jemuž se územní studie poskytuje rovněž v elektronické verzi ve strojově čitelném formátu</w:t>
      </w:r>
      <w:r>
        <w:rPr>
          <w:vertAlign w:val="superscript"/>
        </w:rPr>
        <w:t xml:space="preserve">68</w:t>
      </w:r>
      <w:r>
        <w:rPr/>
        <w:t xml:space="preserve">) včetně prostorových dat ve vektorové formě, úřadu územního plánování, obci a stavebnímu úřadu. Územní studii a místa, kde je možné do ní nahlížet, pořizovatel zveřejní způsobem umožňujícím dálkový přístup.</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4"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 104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projektant územně plánovací dokumentace dopustí přestupku tím, že neodevzdá vybrané části územně plánovací dokumentace v jednotném standardu podle § 159 odst. 2.</w:t>
      </w:r>
    </w:p>
    <w:p>
      <w:pPr>
        <w:ind w:left="0" w:right="0"/>
      </w:pPr>
      <w:r>
        <w:rPr>
          <w:b/>
          <w:bCs/>
        </w:rPr>
        <w:t xml:space="preserve">(3)</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(5)</w:t>
      </w:r>
      <w:r>
        <w:rPr/>
        <w:t xml:space="preserve">  Za přestupek podle odstavců 1 až 4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a § 180 odst. 2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13 odst. 6, § 14 odst. 2, § 20a odst. 4, § 21 odst. 4, § 26 odst. 2, § 29 odst. 3, § 36 odst. 6, § 40 odst. 4, § 42 odst. 8, § 43 odst. 6, § 47 odst. 6, § 50 odst. 1, § 55 odst. 7, § 61 odst. 3, § 64 odst. 6, § 66 odst. 5, § 78a odst. 10, § 86 odst. 6, § 87 odst. 5, § 92 odst. 5, § 94c odst. 3, § 94l odst. 7, § 94p odst. 7, § 94s odst. 6, § 94y odst. 8, § 95 odst. 7, § 96 odst. 11, § 96a odst. 7, § 99 odst. 2, § 100 odst. 3, § 105 odst. 9, § 106 odst. 5, § 110 odst. 5, § 115 odst. 6, § 116 odst. 8, § 117 odst. 8, § 122 odst. 7, § 122a odst. 6, § 123 odst. 5, § 125 odst. 6, § 127 odst. 6, § 128 odst. 8, § 134 odst. 7, § 138 odst. 5, § 143 odst. 5, § 150 odst. 4, § 155 odst. 2, § 157 odst. 4, § 161a odst. 7, § 162 odst. 7, § 184c odst. 3, § 184e odst. 6, § 184f odst. 5, § 184g odst. 5, § 184h odst. 5 a § 184i odst. 4.</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262/1992 Sb.</w:t>
        </w:r>
      </w:hyperlink>
      <w:r>
        <w:rPr/>
        <w:t xml:space="preserve">, kterým se mění a doplňuje zákon č. </w:t>
      </w:r>
      <w:hyperlink r:id="rId17" w:history="1">
        <w:r>
          <w:rPr>
            <w:color w:val="darkblue"/>
            <w:u w:val="single"/>
          </w:rPr>
          <w:t xml:space="preserve">50/1976 Sb.</w:t>
        </w:r>
      </w:hyperlink>
      <w:r>
        <w:rPr/>
        <w:t xml:space="preserve">, o územním plánování a stavebním řádu (stavební zákon), ve znění zákona č. </w:t>
      </w:r>
      <w:hyperlink r:id="rId19"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0" w:history="1">
        <w:r>
          <w:rPr>
            <w:color w:val="darkblue"/>
            <w:u w:val="single"/>
          </w:rPr>
          <w:t xml:space="preserve">43/1994 Sb.</w:t>
        </w:r>
      </w:hyperlink>
      <w:r>
        <w:rPr/>
        <w:t xml:space="preserve">, kterým se mění a doplňuje zákon č. </w:t>
      </w:r>
      <w:hyperlink r:id="rId17"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1" w:history="1">
        <w:r>
          <w:rPr>
            <w:color w:val="darkblue"/>
            <w:u w:val="single"/>
          </w:rPr>
          <w:t xml:space="preserve">59/2001 Sb.</w:t>
        </w:r>
      </w:hyperlink>
      <w:r>
        <w:rPr/>
        <w:t xml:space="preserve">, kterým se mění zákon č. </w:t>
      </w:r>
      <w:hyperlink r:id="rId17"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2" w:history="1">
        <w:r>
          <w:rPr>
            <w:color w:val="darkblue"/>
            <w:u w:val="single"/>
          </w:rPr>
          <w:t xml:space="preserve">422/2002 Sb.</w:t>
        </w:r>
      </w:hyperlink>
      <w:r>
        <w:rPr/>
        <w:t xml:space="preserve">, kterým se mění zákon č. </w:t>
      </w:r>
      <w:hyperlink r:id="rId17"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3"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4"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5"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6" w:history="1">
        <w:r>
          <w:rPr>
            <w:color w:val="darkblue"/>
            <w:u w:val="single"/>
          </w:rPr>
          <w:t xml:space="preserve">492/2002 Sb.</w:t>
        </w:r>
      </w:hyperlink>
      <w:r>
        <w:rPr/>
        <w:t xml:space="preserve">, kterou se mění vyhláška č. </w:t>
      </w:r>
      <w:hyperlink r:id="rId24"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7" w:history="1">
        <w:r>
          <w:rPr>
            <w:color w:val="darkblue"/>
            <w:u w:val="single"/>
          </w:rPr>
          <w:t xml:space="preserve">570/2002 Sb.</w:t>
        </w:r>
      </w:hyperlink>
      <w:r>
        <w:rPr/>
        <w:t xml:space="preserve">, kterou se mění vyhláška č. </w:t>
      </w:r>
      <w:hyperlink r:id="rId25"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96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8" w:history="1">
        <w:r>
          <w:rPr>
            <w:color w:val="darkblue"/>
            <w:u w:val="single"/>
          </w:rPr>
          <w:t xml:space="preserve">§ 34</w:t>
        </w:r>
      </w:hyperlink>
      <w:r>
        <w:rPr>
          <w:sz w:val="19.200000000000003"/>
          <w:szCs w:val="19.200000000000003"/>
        </w:rPr>
        <w:t xml:space="preserve"> zákona č. </w:t>
      </w:r>
      <w:hyperlink r:id="rId29"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1" w:history="1">
        <w:r>
          <w:rPr>
            <w:color w:val="darkblue"/>
            <w:u w:val="single"/>
          </w:rPr>
          <w:t xml:space="preserve">§ 136</w:t>
        </w:r>
      </w:hyperlink>
      <w:r>
        <w:rPr>
          <w:sz w:val="19.200000000000003"/>
          <w:szCs w:val="19.200000000000003"/>
        </w:rPr>
        <w:t xml:space="preserve"> zákona č. </w:t>
      </w:r>
      <w:hyperlink r:id="rId32"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3"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4"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5"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6"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7"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8"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9"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40"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1"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2"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3"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4"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5"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6" w:history="1">
        <w:r>
          <w:rPr>
            <w:color w:val="darkblue"/>
            <w:u w:val="single"/>
          </w:rPr>
          <w:t xml:space="preserve">§ 149</w:t>
        </w:r>
      </w:hyperlink>
      <w:r>
        <w:rPr>
          <w:sz w:val="19.200000000000003"/>
          <w:szCs w:val="19.200000000000003"/>
        </w:rPr>
        <w:t xml:space="preserve">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7" w:history="1">
        <w:r>
          <w:rPr>
            <w:color w:val="darkblue"/>
            <w:u w:val="single"/>
          </w:rPr>
          <w:t xml:space="preserve">§ 140</w:t>
        </w:r>
      </w:hyperlink>
      <w:r>
        <w:rPr>
          <w:sz w:val="19.200000000000003"/>
          <w:szCs w:val="19.200000000000003"/>
        </w:rPr>
        <w:t xml:space="preserve">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8"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9"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50"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1"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2"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4"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5"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4"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6" w:history="1">
        <w:r>
          <w:rPr>
            <w:color w:val="darkblue"/>
            <w:u w:val="single"/>
          </w:rPr>
          <w:t xml:space="preserve">§ 139</w:t>
        </w:r>
      </w:hyperlink>
      <w:r>
        <w:rPr>
          <w:sz w:val="19.200000000000003"/>
          <w:szCs w:val="19.200000000000003"/>
        </w:rPr>
        <w:t xml:space="preserve">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7"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8"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9"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60" w:history="1">
        <w:r>
          <w:rPr>
            <w:color w:val="darkblue"/>
            <w:u w:val="single"/>
          </w:rPr>
          <w:t xml:space="preserve">§ 76</w:t>
        </w:r>
      </w:hyperlink>
      <w:r>
        <w:rPr>
          <w:sz w:val="19.200000000000003"/>
          <w:szCs w:val="19.200000000000003"/>
        </w:rPr>
        <w:t xml:space="preserve">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1"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2"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3" w:history="1">
        <w:r>
          <w:rPr>
            <w:color w:val="darkblue"/>
            <w:u w:val="single"/>
          </w:rPr>
          <w:t xml:space="preserve">248/2000 Sb.</w:t>
        </w:r>
      </w:hyperlink>
      <w:r>
        <w:rPr>
          <w:sz w:val="19.200000000000003"/>
          <w:szCs w:val="19.200000000000003"/>
        </w:rPr>
        <w:t xml:space="preserve">, o podpoře regionálního rozvoje, ve znění zákona č. </w:t>
      </w:r>
      <w:hyperlink r:id="rId64"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5"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2" w:history="1">
        <w:r>
          <w:rPr>
            <w:color w:val="darkblue"/>
            <w:u w:val="single"/>
          </w:rPr>
          <w:t xml:space="preserve">§ 172</w:t>
        </w:r>
      </w:hyperlink>
      <w:r>
        <w:rPr>
          <w:sz w:val="19.200000000000003"/>
          <w:szCs w:val="19.200000000000003"/>
        </w:rPr>
        <w:t xml:space="preserve"> odst. 3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6"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7" w:history="1">
        <w:r>
          <w:rPr>
            <w:color w:val="darkblue"/>
            <w:u w:val="single"/>
          </w:rPr>
          <w:t xml:space="preserve">§ 171</w:t>
        </w:r>
      </w:hyperlink>
      <w:r>
        <w:rPr>
          <w:sz w:val="19.200000000000003"/>
          <w:szCs w:val="19.200000000000003"/>
        </w:rPr>
        <w:t xml:space="preserve"> až 174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8" w:history="1">
        <w:r>
          <w:rPr>
            <w:color w:val="darkblue"/>
            <w:u w:val="single"/>
          </w:rPr>
          <w:t xml:space="preserve">§ 159</w:t>
        </w:r>
      </w:hyperlink>
      <w:r>
        <w:rPr>
          <w:sz w:val="19.200000000000003"/>
          <w:szCs w:val="19.200000000000003"/>
        </w:rPr>
        <w:t xml:space="preserve"> až 170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7"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9" w:history="1">
        <w:r>
          <w:rPr>
            <w:color w:val="darkblue"/>
            <w:u w:val="single"/>
          </w:rPr>
          <w:t xml:space="preserve">§ 2</w:t>
        </w:r>
      </w:hyperlink>
      <w:r>
        <w:rPr>
          <w:sz w:val="19.200000000000003"/>
          <w:szCs w:val="19.200000000000003"/>
        </w:rPr>
        <w:t xml:space="preserve">, 3 a 11 zákona č. </w:t>
      </w:r>
      <w:hyperlink r:id="rId70"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1"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2" w:history="1">
        <w:r>
          <w:rPr>
            <w:color w:val="darkblue"/>
            <w:u w:val="single"/>
          </w:rPr>
          <w:t xml:space="preserve">266/1994 Sb.</w:t>
        </w:r>
      </w:hyperlink>
      <w:r>
        <w:rPr>
          <w:sz w:val="19.200000000000003"/>
          <w:szCs w:val="19.200000000000003"/>
        </w:rPr>
        <w:t xml:space="preserve">, o dráhách, ve znění pozdějších předpisů, zákon č. </w:t>
      </w:r>
      <w:hyperlink r:id="rId40"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3"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4" w:history="1">
        <w:r>
          <w:rPr>
            <w:color w:val="darkblue"/>
            <w:u w:val="single"/>
          </w:rPr>
          <w:t xml:space="preserve">§ 70</w:t>
        </w:r>
      </w:hyperlink>
      <w:r>
        <w:rPr>
          <w:sz w:val="19.200000000000003"/>
          <w:szCs w:val="19.200000000000003"/>
        </w:rPr>
        <w:t xml:space="preserve"> zákona č. </w:t>
      </w:r>
      <w:hyperlink r:id="rId34" w:history="1">
        <w:r>
          <w:rPr>
            <w:color w:val="darkblue"/>
            <w:u w:val="single"/>
          </w:rPr>
          <w:t xml:space="preserve">114/1992 Sb.</w:t>
        </w:r>
      </w:hyperlink>
      <w:r>
        <w:rPr>
          <w:sz w:val="19.200000000000003"/>
          <w:szCs w:val="19.200000000000003"/>
        </w:rPr>
        <w:t xml:space="preserve">, o ochraně přírody a krajiny, ve znění zákona č. </w:t>
      </w:r>
      <w:hyperlink r:id="rId75" w:history="1">
        <w:r>
          <w:rPr>
            <w:color w:val="darkblue"/>
            <w:u w:val="single"/>
          </w:rPr>
          <w:t xml:space="preserve">218/2004 Sb.</w:t>
        </w:r>
      </w:hyperlink>
      <w:r>
        <w:rPr>
          <w:sz w:val="19.200000000000003"/>
          <w:szCs w:val="19.200000000000003"/>
        </w:rPr>
        <w:t xml:space="preserve">, </w:t>
      </w:r>
      <w:hyperlink r:id="rId76" w:history="1">
        <w:r>
          <w:rPr>
            <w:color w:val="darkblue"/>
            <w:u w:val="single"/>
          </w:rPr>
          <w:t xml:space="preserve">§ 23</w:t>
        </w:r>
      </w:hyperlink>
      <w:r>
        <w:rPr>
          <w:sz w:val="19.200000000000003"/>
          <w:szCs w:val="19.200000000000003"/>
        </w:rPr>
        <w:t xml:space="preserve"> zákona č. </w:t>
      </w:r>
      <w:hyperlink r:id="rId54" w:history="1">
        <w:r>
          <w:rPr>
            <w:color w:val="darkblue"/>
            <w:u w:val="single"/>
          </w:rPr>
          <w:t xml:space="preserve">100/2001 Sb.</w:t>
        </w:r>
      </w:hyperlink>
      <w:r>
        <w:rPr>
          <w:sz w:val="19.200000000000003"/>
          <w:szCs w:val="19.200000000000003"/>
        </w:rPr>
        <w:t xml:space="preserve">, ve znění zákona č. </w:t>
      </w:r>
      <w:hyperlink r:id="rId55"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6"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7"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8"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9"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0"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1" w:history="1">
        <w:r>
          <w:rPr>
            <w:color w:val="darkblue"/>
            <w:u w:val="single"/>
          </w:rPr>
          <w:t xml:space="preserve">251/2003 Sb.</w:t>
        </w:r>
      </w:hyperlink>
      <w:r>
        <w:rPr>
          <w:sz w:val="19.200000000000003"/>
          <w:szCs w:val="19.200000000000003"/>
        </w:rPr>
        <w:t xml:space="preserve"> a nařízení vlády č. </w:t>
      </w:r>
      <w:hyperlink r:id="rId82"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3"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4" w:history="1">
        <w:r>
          <w:rPr>
            <w:color w:val="darkblue"/>
            <w:u w:val="single"/>
          </w:rPr>
          <w:t xml:space="preserve">§ 4</w:t>
        </w:r>
      </w:hyperlink>
      <w:r>
        <w:rPr>
          <w:sz w:val="19.200000000000003"/>
          <w:szCs w:val="19.200000000000003"/>
        </w:rPr>
        <w:t xml:space="preserve"> vyhlášky č. </w:t>
      </w:r>
      <w:hyperlink r:id="rId85" w:history="1">
        <w:r>
          <w:rPr>
            <w:color w:val="darkblue"/>
            <w:u w:val="single"/>
          </w:rPr>
          <w:t xml:space="preserve">111/1981 Sb.</w:t>
        </w:r>
      </w:hyperlink>
      <w:r>
        <w:rPr>
          <w:sz w:val="19.200000000000003"/>
          <w:szCs w:val="19.200000000000003"/>
        </w:rPr>
        <w:t xml:space="preserve">, o čištění komínů, </w:t>
      </w:r>
      <w:hyperlink r:id="rId86" w:history="1">
        <w:r>
          <w:rPr>
            <w:color w:val="darkblue"/>
            <w:u w:val="single"/>
          </w:rPr>
          <w:t xml:space="preserve">§ 15</w:t>
        </w:r>
      </w:hyperlink>
      <w:r>
        <w:rPr>
          <w:sz w:val="19.200000000000003"/>
          <w:szCs w:val="19.200000000000003"/>
        </w:rPr>
        <w:t xml:space="preserve"> a 19 vyhlášky č. </w:t>
      </w:r>
      <w:hyperlink r:id="rId87" w:history="1">
        <w:r>
          <w:rPr>
            <w:color w:val="darkblue"/>
            <w:u w:val="single"/>
          </w:rPr>
          <w:t xml:space="preserve">428/2001 Sb.</w:t>
        </w:r>
      </w:hyperlink>
      <w:r>
        <w:rPr>
          <w:sz w:val="19.200000000000003"/>
          <w:szCs w:val="19.200000000000003"/>
        </w:rPr>
        <w:t xml:space="preserve">, kterou se provádí zákon č. </w:t>
      </w:r>
      <w:hyperlink r:id="rId88"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1"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2"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9" w:history="1">
        <w:r>
          <w:rPr>
            <w:color w:val="darkblue"/>
            <w:u w:val="single"/>
          </w:rPr>
          <w:t xml:space="preserve">128/2000 Sb.</w:t>
        </w:r>
      </w:hyperlink>
      <w:r>
        <w:rPr>
          <w:sz w:val="19.200000000000003"/>
          <w:szCs w:val="19.200000000000003"/>
        </w:rPr>
        <w:t xml:space="preserve">, ve znění zákona č. </w:t>
      </w:r>
      <w:hyperlink r:id="rId93" w:history="1">
        <w:r>
          <w:rPr>
            <w:color w:val="darkblue"/>
            <w:u w:val="single"/>
          </w:rPr>
          <w:t xml:space="preserve">227/2009 Sb.</w:t>
        </w:r>
      </w:hyperlink>
      <w:r>
        <w:rPr>
          <w:sz w:val="19.200000000000003"/>
          <w:szCs w:val="19.200000000000003"/>
        </w:rPr>
        <w:t xml:space="preserve"> § 14 odst. 1 až 3 zákona č. </w:t>
      </w:r>
      <w:hyperlink r:id="rId48" w:history="1">
        <w:r>
          <w:rPr>
            <w:color w:val="darkblue"/>
            <w:u w:val="single"/>
          </w:rPr>
          <w:t xml:space="preserve">131/2000 Sb.</w:t>
        </w:r>
      </w:hyperlink>
      <w:r>
        <w:rPr>
          <w:sz w:val="19.200000000000003"/>
          <w:szCs w:val="19.200000000000003"/>
        </w:rPr>
        <w:t xml:space="preserve">, ve znění zákona č. </w:t>
      </w:r>
      <w:hyperlink r:id="rId93"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4"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5"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6"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7" w:history="1">
        <w:r>
          <w:rPr>
            <w:color w:val="darkblue"/>
            <w:u w:val="single"/>
          </w:rPr>
          <w:t xml:space="preserve">§ 35</w:t>
        </w:r>
      </w:hyperlink>
      <w:r>
        <w:rPr>
          <w:sz w:val="19.200000000000003"/>
          <w:szCs w:val="19.200000000000003"/>
        </w:rPr>
        <w:t xml:space="preserve"> odst. 1 zákona č. </w:t>
      </w:r>
      <w:hyperlink r:id="rId40" w:history="1">
        <w:r>
          <w:rPr>
            <w:color w:val="darkblue"/>
            <w:u w:val="single"/>
          </w:rPr>
          <w:t xml:space="preserve">13/1997 Sb.</w:t>
        </w:r>
      </w:hyperlink>
      <w:r>
        <w:rPr>
          <w:sz w:val="19.200000000000003"/>
          <w:szCs w:val="19.200000000000003"/>
        </w:rPr>
        <w:t xml:space="preserve">, o pozemních komunikacích, ve znění zákona č. </w:t>
      </w:r>
      <w:hyperlink r:id="rId98"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9"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0"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7"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1"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2" w:history="1">
        <w:r>
          <w:rPr>
            <w:color w:val="darkblue"/>
            <w:u w:val="single"/>
          </w:rPr>
          <w:t xml:space="preserve">§ 22</w:t>
        </w:r>
      </w:hyperlink>
      <w:r>
        <w:rPr>
          <w:sz w:val="19.200000000000003"/>
          <w:szCs w:val="19.200000000000003"/>
        </w:rPr>
        <w:t xml:space="preserve"> odst. 3 zákona č. </w:t>
      </w:r>
      <w:hyperlink r:id="rId57" w:history="1">
        <w:r>
          <w:rPr>
            <w:color w:val="darkblue"/>
            <w:u w:val="single"/>
          </w:rPr>
          <w:t xml:space="preserve">360/1992 Sb.</w:t>
        </w:r>
      </w:hyperlink>
      <w:r>
        <w:rPr>
          <w:sz w:val="19.200000000000003"/>
          <w:szCs w:val="19.200000000000003"/>
        </w:rPr>
        <w:t xml:space="preserve">, ve znění zákona č. </w:t>
      </w:r>
      <w:hyperlink r:id="rId101"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3"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7" w:history="1">
        <w:r>
          <w:rPr>
            <w:color w:val="darkblue"/>
            <w:u w:val="single"/>
          </w:rPr>
          <w:t xml:space="preserve">360/1992 Sb.</w:t>
        </w:r>
      </w:hyperlink>
      <w:r>
        <w:rPr>
          <w:sz w:val="19.200000000000003"/>
          <w:szCs w:val="19.200000000000003"/>
        </w:rPr>
        <w:t xml:space="preserve">, zákon č. </w:t>
      </w:r>
      <w:hyperlink r:id="rId104"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5" w:history="1">
        <w:r>
          <w:rPr>
            <w:color w:val="darkblue"/>
            <w:u w:val="single"/>
          </w:rPr>
          <w:t xml:space="preserve">§ 68</w:t>
        </w:r>
      </w:hyperlink>
      <w:r>
        <w:rPr>
          <w:sz w:val="19.200000000000003"/>
          <w:szCs w:val="19.200000000000003"/>
        </w:rPr>
        <w:t xml:space="preserve"> zákona č. </w:t>
      </w:r>
      <w:hyperlink r:id="rId103"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6"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7" w:history="1">
        <w:r>
          <w:rPr>
            <w:color w:val="darkblue"/>
            <w:u w:val="single"/>
          </w:rPr>
          <w:t xml:space="preserve">§ 15</w:t>
        </w:r>
      </w:hyperlink>
      <w:r>
        <w:rPr>
          <w:sz w:val="19.200000000000003"/>
          <w:szCs w:val="19.200000000000003"/>
        </w:rPr>
        <w:t xml:space="preserve"> odst. 2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8" w:history="1">
        <w:r>
          <w:rPr>
            <w:color w:val="darkblue"/>
            <w:u w:val="single"/>
          </w:rPr>
          <w:t xml:space="preserve">§ 58</w:t>
        </w:r>
      </w:hyperlink>
      <w:r>
        <w:rPr>
          <w:sz w:val="19.200000000000003"/>
          <w:szCs w:val="19.200000000000003"/>
        </w:rPr>
        <w:t xml:space="preserve"> a </w:t>
      </w:r>
      <w:hyperlink r:id="rId109" w:history="1">
        <w:r>
          <w:rPr>
            <w:color w:val="darkblue"/>
            <w:u w:val="single"/>
          </w:rPr>
          <w:t xml:space="preserve">§ 62</w:t>
        </w:r>
      </w:hyperlink>
      <w:r>
        <w:rPr>
          <w:sz w:val="19.200000000000003"/>
          <w:szCs w:val="19.200000000000003"/>
        </w:rPr>
        <w:t xml:space="preserve"> odst. 3 až 6 zákona č. </w:t>
      </w:r>
      <w:hyperlink r:id="rId32"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5"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0"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3"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1"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2"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3" w:history="1">
        <w:r>
          <w:rPr>
            <w:color w:val="darkblue"/>
            <w:u w:val="single"/>
          </w:rPr>
          <w:t xml:space="preserve">§ 36</w:t>
        </w:r>
      </w:hyperlink>
      <w:r>
        <w:rPr>
          <w:sz w:val="19.200000000000003"/>
          <w:szCs w:val="19.200000000000003"/>
        </w:rPr>
        <w:t xml:space="preserve"> zákona č. </w:t>
      </w:r>
      <w:hyperlink r:id="rId114" w:history="1">
        <w:r>
          <w:rPr>
            <w:color w:val="darkblue"/>
            <w:u w:val="single"/>
          </w:rPr>
          <w:t xml:space="preserve">49/1997 Sb.</w:t>
        </w:r>
      </w:hyperlink>
      <w:r>
        <w:rPr>
          <w:sz w:val="19.200000000000003"/>
          <w:szCs w:val="19.200000000000003"/>
        </w:rPr>
        <w:t xml:space="preserve">, o civilním letectví a o změně a doplnění zákona č. </w:t>
      </w:r>
      <w:hyperlink r:id="rId30"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5"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6"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8"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7"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7" w:history="1">
        <w:r>
          <w:rPr>
            <w:color w:val="darkblue"/>
            <w:u w:val="single"/>
          </w:rPr>
          <w:t xml:space="preserve">219/2000 Sb.</w:t>
        </w:r>
      </w:hyperlink>
      <w:r>
        <w:rPr>
          <w:sz w:val="19.200000000000003"/>
          <w:szCs w:val="19.200000000000003"/>
        </w:rPr>
        <w:t xml:space="preserve"> § 10 zákona č. </w:t>
      </w:r>
      <w:hyperlink r:id="rId119"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20"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3"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4"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1"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2"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3"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4"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4"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 2 písm. e) zákona č. </w:t>
      </w:r>
      <w:hyperlink r:id="rId65"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26" w:history="1">
        <w:r>
          <w:rPr>
            <w:color w:val="darkblue"/>
            <w:u w:val="single"/>
          </w:rPr>
          <w:t xml:space="preserve">§ 19</w:t>
        </w:r>
      </w:hyperlink>
      <w:r>
        <w:rPr>
          <w:sz w:val="24"/>
          <w:szCs w:val="24"/>
        </w:rPr>
        <w:t xml:space="preserve"> odst. 2 zákona č. </w:t>
      </w:r>
      <w:hyperlink r:id="rId127"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27"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27"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27"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27"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27"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27"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27"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4"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4"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27"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27"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27"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27"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4"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4" w:history="1">
        <w:r>
          <w:rPr>
            <w:color w:val="darkblue"/>
            <w:u w:val="single"/>
          </w:rPr>
          <w:t xml:space="preserve">100/2001 Sb.</w:t>
        </w:r>
      </w:hyperlink>
      <w:r>
        <w:rPr/>
        <w:t xml:space="preserve">, ve znění účinném ode dne nabytí účinnosti tohoto zákona; ustanovení § 91 až 91h a § 94i až 94r zákona č. </w:t>
      </w:r>
      <w:hyperlink r:id="rId127"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27" w:history="1">
        <w:r>
          <w:rPr>
            <w:color w:val="darkblue"/>
            <w:u w:val="single"/>
          </w:rPr>
          <w:t xml:space="preserve">183/2006 Sb.</w:t>
        </w:r>
      </w:hyperlink>
      <w:r>
        <w:rPr/>
        <w:t xml:space="preserve">, ve znění účinném ode dne nabytí účinnosti tohoto zákona. Ustanovení § 9a odst. 3 až 5 a § 9b až 9d zákona č. </w:t>
      </w:r>
      <w:hyperlink r:id="rId54"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27"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p>
      <w:pPr>
        <w:pStyle w:val="Heading1"/>
      </w:pPr>
      <w:r>
        <w:rPr>
          <w:b/>
          <w:bCs/>
        </w:rPr>
        <w:t xml:space="preserve">ČÁST ŠESTÁ (Čl. VII) zákona č. 169/2018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w:t>
      </w:r>
    </w:p>
    <w:p>
      <w:pPr>
        <w:ind w:left="0" w:right="0"/>
      </w:pPr>
      <w:r>
        <w:rPr/>
        <w:t xml:space="preserve">Tento zákon nabývá účinnosti patnáctým dnem po jeho vyhlášení, s výjimkou ustanovení čl. I bodu 6, pokud jde o § 2e, které nabývá účinnosti prvním dnem dvanáctého měsíce následujícího po jeho vyhlášení, a s výjimkou části páté, která nabývá účinnosti prvním dnem kalendářního měsíce následujícího po jeho vyhlášení.</w:t>
      </w:r>
    </w:p>
    <w:p>
      <w:pPr>
        <w:pStyle w:val="Heading1"/>
      </w:pPr>
      <w:r>
        <w:rPr>
          <w:b/>
          <w:bCs/>
        </w:rPr>
        <w:t xml:space="preserve">ČÁST PRVNÍ (Čl. II) zákona č. 312/2019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dokončí stavební úřad podle dosavadních právních předpisů.</w:t>
      </w:r>
    </w:p>
    <w:p>
      <w:pPr>
        <w:pStyle w:val="Heading1"/>
      </w:pPr>
      <w:r>
        <w:rPr>
          <w:b/>
          <w:bCs/>
        </w:rPr>
        <w:t xml:space="preserve">ČÁST DRUHÁ (Čl. IV) a ČÁST ŠESTÁ (ČI. VIII) zákona č. 47/2020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Postupy správních orgánů podle části třetí hlavy III dílů 4 a 5 a části čtvrté hlavy I zákona č. </w:t>
      </w:r>
      <w:hyperlink r:id="rId127" w:history="1">
        <w:r>
          <w:rPr>
            <w:color w:val="darkblue"/>
            <w:u w:val="single"/>
          </w:rPr>
          <w:t xml:space="preserve">183/2006 Sb.</w:t>
        </w:r>
      </w:hyperlink>
      <w:r>
        <w:rPr/>
        <w:t xml:space="preserve">, ve znění účinném přede dnem nabytí účinnosti tohoto zákona, a postupy správních orgánů podle zvláštního právního předpisu vedoucího k vydání závazného stanoviska nebo jiného podkladu podmiňujícího vydání rozhodnutí nebo jiného opatření podle části třetí hlavy III dílů 4 a 5 a části čtvrté hlavy I zákona č. </w:t>
      </w:r>
      <w:hyperlink r:id="rId127" w:history="1">
        <w:r>
          <w:rPr>
            <w:color w:val="darkblue"/>
            <w:u w:val="single"/>
          </w:rPr>
          <w:t xml:space="preserve">183/2006 Sb.</w:t>
        </w:r>
      </w:hyperlink>
      <w:r>
        <w:rPr/>
        <w:t xml:space="preserve">, ve znění účinném přede dnem nabytí účinnosti tohoto zákona, které nebyly pravomocně skončeny před 1. červencem 2023, se dokončí podle zákona č. </w:t>
      </w:r>
      <w:hyperlink r:id="rId127"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byl návrh na uzavření veřejnoprávní smlouvy podle zákona č. </w:t>
      </w:r>
      <w:hyperlink r:id="rId127" w:history="1">
        <w:r>
          <w:rPr>
            <w:color w:val="darkblue"/>
            <w:u w:val="single"/>
          </w:rPr>
          <w:t xml:space="preserve">183/2006 Sb.</w:t>
        </w:r>
      </w:hyperlink>
      <w:r>
        <w:rPr/>
        <w:t xml:space="preserve"> podán před 1. červencem 2023, postupuje se při uzavírání této veřejnoprávní smlouvy podle zákona č. </w:t>
      </w:r>
      <w:hyperlink r:id="rId127"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Ministerstvo vydá vyhlášku k provedení § 20a odst. 4 zákona č. </w:t>
      </w:r>
      <w:hyperlink r:id="rId127" w:history="1">
        <w:r>
          <w:rPr>
            <w:color w:val="darkblue"/>
            <w:u w:val="single"/>
          </w:rPr>
          <w:t xml:space="preserve">183/2006 Sb.</w:t>
        </w:r>
      </w:hyperlink>
      <w:r>
        <w:rPr/>
        <w:t xml:space="preserve">, ve znění účinném ode dne nabytí účinnosti tohoto zákona, nejpozději do 3 let od nabytí účinnosti tohoto zákona. Do doby nabytí účinnosti této vyhlášky se § 20a odst. 2 a 3, § 159 odst. 2 a § 180 odst. 2 zákona č. </w:t>
      </w:r>
      <w:hyperlink r:id="rId127" w:history="1">
        <w:r>
          <w:rPr>
            <w:color w:val="darkblue"/>
            <w:u w:val="single"/>
          </w:rPr>
          <w:t xml:space="preserve">183/2006 Sb.</w:t>
        </w:r>
      </w:hyperlink>
      <w:r>
        <w:rPr/>
        <w:t xml:space="preserve">, ve znění účinném ode dne nabytí účinnosti tohoto zákona, nepoužijí.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července 2023, s výjimkou ustanovení čl. I bodů 7 a 8, čl. II, čl. III bodů 5 až 7, 12, 16, 17, 20, 22 až 25 a 27 a čl. IV, která nabývají účinnosti patnáctým dnem po jeho vyhlášení.</w:t>
      </w:r>
    </w:p>
    <w:sectPr>
      <w:headerReference w:type="default" r:id="rId128"/>
      <w:footerReference w:type="default" r:id="rId12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47/2020 Sb. z </w:t>
          </w:r>
          <w:r>
            <w:rPr>
              <w:rStyle w:val="bold"/>
            </w:rPr>
            <w:t xml:space="preserve">12. 3. 2020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aktualiz/aktualiz/hotovo/2017/2017s194.doc#note_18" TargetMode="External"/><Relationship Id="rId9" Type="http://schemas.openxmlformats.org/officeDocument/2006/relationships/hyperlink" Target="https://esipa.cz/sbirka/sbsrv.dll/sb?DR=SB&amp;CP=2004s500#C02_H09_P097" TargetMode="External"/><Relationship Id="rId10" Type="http://schemas.openxmlformats.org/officeDocument/2006/relationships/hyperlink" Target="https://esipa.cz/sbirka/sbsrv.dll/sb?DR=SB&amp;CP=2017s225" TargetMode="External"/><Relationship Id="rId11" Type="http://schemas.openxmlformats.org/officeDocument/2006/relationships/hyperlink" Target="https://esipa.cz/sbirka/sbsrv.dll/sb?DR=SB&amp;CP=2015s039" TargetMode="External"/><Relationship Id="rId12" Type="http://schemas.openxmlformats.org/officeDocument/2006/relationships/hyperlink" Target="https://esipa.cz/sbirka/sbsrv.dll/sb?DR=SB&amp;CP=2004s500#C06_P172" TargetMode="External"/><Relationship Id="rId13" Type="http://schemas.openxmlformats.org/officeDocument/2006/relationships/hyperlink" Target="https://esipa.cz/sbirka/sbsrv.dll/sb?DR=AZ&amp;CP=2001s254-2012s085#C01_H02_D003_OD001_P015A" TargetMode="External"/><Relationship Id="rId14" Type="http://schemas.openxmlformats.org/officeDocument/2006/relationships/hyperlink" Target="https://esipa.cz/sbirka/sbsrv.dll/sb?DR=SB&amp;CP=2004s500#C02_H06_D006_P075" TargetMode="External"/><Relationship Id="rId15" Type="http://schemas.openxmlformats.org/officeDocument/2006/relationships/hyperlink" Target="https://esipa.cz/sbirka/sbsrv.dll/sb?DR=SB&amp;CP=1946s086" TargetMode="External"/><Relationship Id="rId16" Type="http://schemas.openxmlformats.org/officeDocument/2006/relationships/hyperlink" Target="https://esipa.cz/sbirka/sbsrv.dll/sb?DR=SB&amp;CP=1947s115" TargetMode="External"/><Relationship Id="rId17" Type="http://schemas.openxmlformats.org/officeDocument/2006/relationships/hyperlink" Target="https://esipa.cz/sbirka/sbsrv.dll/sb?DR=SB&amp;CP=1976s050" TargetMode="External"/><Relationship Id="rId18" Type="http://schemas.openxmlformats.org/officeDocument/2006/relationships/hyperlink" Target="https://esipa.cz/sbirka/sbsrv.dll/sb?DR=SB&amp;CP=1992s262" TargetMode="External"/><Relationship Id="rId19" Type="http://schemas.openxmlformats.org/officeDocument/2006/relationships/hyperlink" Target="https://esipa.cz/sbirka/sbsrv.dll/sb?DR=SB&amp;CP=1990s103" TargetMode="External"/><Relationship Id="rId20" Type="http://schemas.openxmlformats.org/officeDocument/2006/relationships/hyperlink" Target="https://esipa.cz/sbirka/sbsrv.dll/sb?DR=SB&amp;CP=1994s043" TargetMode="External"/><Relationship Id="rId21" Type="http://schemas.openxmlformats.org/officeDocument/2006/relationships/hyperlink" Target="https://esipa.cz/sbirka/sbsrv.dll/sb?DR=SB&amp;CP=2001s059" TargetMode="External"/><Relationship Id="rId22" Type="http://schemas.openxmlformats.org/officeDocument/2006/relationships/hyperlink" Target="https://esipa.cz/sbirka/sbsrv.dll/sb?DR=SB&amp;CP=2002s422" TargetMode="External"/><Relationship Id="rId23" Type="http://schemas.openxmlformats.org/officeDocument/2006/relationships/hyperlink" Target="https://esipa.cz/sbirka/sbsrv.dll/sb?DR=SB&amp;CP=1979s120" TargetMode="External"/><Relationship Id="rId24" Type="http://schemas.openxmlformats.org/officeDocument/2006/relationships/hyperlink" Target="https://esipa.cz/sbirka/sbsrv.dll/sb?DR=SB&amp;CP=1998s132" TargetMode="External"/><Relationship Id="rId25" Type="http://schemas.openxmlformats.org/officeDocument/2006/relationships/hyperlink" Target="https://esipa.cz/sbirka/sbsrv.dll/sb?DR=SB&amp;CP=2001s135" TargetMode="External"/><Relationship Id="rId26" Type="http://schemas.openxmlformats.org/officeDocument/2006/relationships/hyperlink" Target="https://esipa.cz/sbirka/sbsrv.dll/sb?DR=SB&amp;CP=2002s492" TargetMode="External"/><Relationship Id="rId27" Type="http://schemas.openxmlformats.org/officeDocument/2006/relationships/hyperlink" Target="https://esipa.cz/sbirka/sbsrv.dll/sb?DR=SB&amp;CP=2002s570" TargetMode="External"/><Relationship Id="rId28" Type="http://schemas.openxmlformats.org/officeDocument/2006/relationships/hyperlink" Target="https://esipa.cz/sbirka/sbsrv.dll/sb?DR=SB&amp;CP=2000s128#C01_H01_D004_P034" TargetMode="External"/><Relationship Id="rId29" Type="http://schemas.openxmlformats.org/officeDocument/2006/relationships/hyperlink" Target="https://esipa.cz/sbirka/sbsrv.dll/sb?DR=SB&amp;CP=2000s128" TargetMode="External"/><Relationship Id="rId30" Type="http://schemas.openxmlformats.org/officeDocument/2006/relationships/hyperlink" Target="https://esipa.cz/sbirka/sbsrv.dll/sb?DR=SB&amp;CP=1991s455" TargetMode="External"/><Relationship Id="rId31" Type="http://schemas.openxmlformats.org/officeDocument/2006/relationships/hyperlink" Target="https://esipa.cz/sbirka/sbsrv.dll/sb?DR=SB&amp;CP=2004s500#C03_H02_P136" TargetMode="External"/><Relationship Id="rId32" Type="http://schemas.openxmlformats.org/officeDocument/2006/relationships/hyperlink" Target="https://esipa.cz/sbirka/sbsrv.dll/sb?DR=SB&amp;CP=2004s500" TargetMode="External"/><Relationship Id="rId33" Type="http://schemas.openxmlformats.org/officeDocument/2006/relationships/hyperlink" Target="https://esipa.cz/sbirka/sbsrv.dll/sb?DR=SB&amp;CP=2001s254" TargetMode="External"/><Relationship Id="rId34" Type="http://schemas.openxmlformats.org/officeDocument/2006/relationships/hyperlink" Target="https://esipa.cz/sbirka/sbsrv.dll/sb?DR=SB&amp;CP=1992s114" TargetMode="External"/><Relationship Id="rId35" Type="http://schemas.openxmlformats.org/officeDocument/2006/relationships/hyperlink" Target="https://esipa.cz/sbirka/sbsrv.dll/sb?DR=SB&amp;CP=2002s086" TargetMode="External"/><Relationship Id="rId36" Type="http://schemas.openxmlformats.org/officeDocument/2006/relationships/hyperlink" Target="https://esipa.cz/sbirka/sbsrv.dll/sb?DR=SB&amp;CP=1992s334" TargetMode="External"/><Relationship Id="rId37" Type="http://schemas.openxmlformats.org/officeDocument/2006/relationships/hyperlink" Target="https://esipa.cz/sbirka/sbsrv.dll/sb?DR=SB&amp;CP=1987s020" TargetMode="External"/><Relationship Id="rId38" Type="http://schemas.openxmlformats.org/officeDocument/2006/relationships/hyperlink" Target="https://esipa.cz/sbirka/sbsrv.dll/sb?DR=SB&amp;CP=1995s289" TargetMode="External"/><Relationship Id="rId39" Type="http://schemas.openxmlformats.org/officeDocument/2006/relationships/hyperlink" Target="https://esipa.cz/sbirka/sbsrv.dll/sb?DR=SB&amp;CP=1985s133" TargetMode="External"/><Relationship Id="rId40" Type="http://schemas.openxmlformats.org/officeDocument/2006/relationships/hyperlink" Target="https://esipa.cz/sbirka/sbsrv.dll/sb?DR=SB&amp;CP=1997s013" TargetMode="External"/><Relationship Id="rId41" Type="http://schemas.openxmlformats.org/officeDocument/2006/relationships/hyperlink" Target="https://esipa.cz/sbirka/sbsrv.dll/sb?DR=SB&amp;CP=1988s044" TargetMode="External"/><Relationship Id="rId42" Type="http://schemas.openxmlformats.org/officeDocument/2006/relationships/hyperlink" Target="https://esipa.cz/sbirka/sbsrv.dll/sb?DR=SB&amp;CP=2001s164" TargetMode="External"/><Relationship Id="rId43" Type="http://schemas.openxmlformats.org/officeDocument/2006/relationships/hyperlink" Target="https://esipa.cz/sbirka/sbsrv.dll/sb?DR=SB&amp;CP=1988s062"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0s406" TargetMode="External"/><Relationship Id="rId46" Type="http://schemas.openxmlformats.org/officeDocument/2006/relationships/hyperlink" Target="https://esipa.cz/sbirka/sbsrv.dll/sb?DR=SB&amp;CP=2004s500#C03_H06_P149" TargetMode="External"/><Relationship Id="rId47" Type="http://schemas.openxmlformats.org/officeDocument/2006/relationships/hyperlink" Target="https://esipa.cz/sbirka/sbsrv.dll/sb?DR=SB&amp;CP=2004s500#C03_H04_P140" TargetMode="External"/><Relationship Id="rId48" Type="http://schemas.openxmlformats.org/officeDocument/2006/relationships/hyperlink" Target="https://esipa.cz/sbirka/sbsrv.dll/sb?DR=SB&amp;CP=2000s131" TargetMode="External"/><Relationship Id="rId49" Type="http://schemas.openxmlformats.org/officeDocument/2006/relationships/hyperlink" Target="https://esipa.cz/sbirka/sbsrv.dll/sb?DR=SB&amp;CP=2002s314" TargetMode="External"/><Relationship Id="rId50" Type="http://schemas.openxmlformats.org/officeDocument/2006/relationships/hyperlink" Target="https://esipa.cz/sbirka/sbsrv.dll/sb?DR=SB&amp;CP=2004s387" TargetMode="External"/><Relationship Id="rId51" Type="http://schemas.openxmlformats.org/officeDocument/2006/relationships/hyperlink" Target="https://esipa.cz/sbirka/sbsrv.dll/sb?DR=SB&amp;CP=2002s076" TargetMode="External"/><Relationship Id="rId52" Type="http://schemas.openxmlformats.org/officeDocument/2006/relationships/hyperlink" Target="https://esipa.cz/sbirka/sbsrv.dll/sb?DR=SB&amp;CP=1997s018" TargetMode="External"/><Relationship Id="rId53" Type="http://schemas.openxmlformats.org/officeDocument/2006/relationships/hyperlink" Target="https://esipa.cz/sbirka/sbsrv.dll/sb?DR=SB&amp;CP=2000s458" TargetMode="External"/><Relationship Id="rId54" Type="http://schemas.openxmlformats.org/officeDocument/2006/relationships/hyperlink" Target="https://esipa.cz/sbirka/sbsrv.dll/sb?DR=SB&amp;CP=2001s100" TargetMode="External"/><Relationship Id="rId55" Type="http://schemas.openxmlformats.org/officeDocument/2006/relationships/hyperlink" Target="https://esipa.cz/sbirka/sbsrv.dll/sb?DR=SB&amp;CP=2004s093" TargetMode="External"/><Relationship Id="rId56" Type="http://schemas.openxmlformats.org/officeDocument/2006/relationships/hyperlink" Target="https://esipa.cz/sbirka/sbsrv.dll/sb?DR=SB&amp;CP=2004s500#C03_H03_P139" TargetMode="External"/><Relationship Id="rId57" Type="http://schemas.openxmlformats.org/officeDocument/2006/relationships/hyperlink" Target="https://esipa.cz/sbirka/sbsrv.dll/sb?DR=SB&amp;CP=1992s360" TargetMode="External"/><Relationship Id="rId58" Type="http://schemas.openxmlformats.org/officeDocument/2006/relationships/hyperlink" Target="https://esipa.cz/sbirka/sbsrv.dll/sb?DR=SB&amp;CP=2000s133" TargetMode="External"/><Relationship Id="rId59" Type="http://schemas.openxmlformats.org/officeDocument/2006/relationships/hyperlink" Target="https://esipa.cz/sbirka/sbsrv.dll/sb?DR=SB&amp;CP=1999s326" TargetMode="External"/><Relationship Id="rId60" Type="http://schemas.openxmlformats.org/officeDocument/2006/relationships/hyperlink" Target="https://esipa.cz/sbirka/sbsrv.dll/sb?DR=SB&amp;CP=2004s500#C02_H06_D006_P076" TargetMode="External"/><Relationship Id="rId61" Type="http://schemas.openxmlformats.org/officeDocument/2006/relationships/hyperlink" Target="https://esipa.cz/sbirka/sbsrv.dll/sb?DR=SB&amp;CP=2002s312" TargetMode="External"/><Relationship Id="rId62" Type="http://schemas.openxmlformats.org/officeDocument/2006/relationships/hyperlink" Target="https://esipa.cz/sbirka/sbsrv.dll/sb?DR=SB&amp;CP=2006s430" TargetMode="External"/><Relationship Id="rId63" Type="http://schemas.openxmlformats.org/officeDocument/2006/relationships/hyperlink" Target="https://esipa.cz/sbirka/sbsrv.dll/sb?DR=SB&amp;CP=2000s248" TargetMode="External"/><Relationship Id="rId64" Type="http://schemas.openxmlformats.org/officeDocument/2006/relationships/hyperlink" Target="https://esipa.cz/sbirka/sbsrv.dll/sb?DR=SB&amp;CP=2002s320" TargetMode="External"/><Relationship Id="rId65" Type="http://schemas.openxmlformats.org/officeDocument/2006/relationships/hyperlink" Target="https://esipa.cz/sbirka/sbsrv.dll/sb?DR=SB&amp;CP=1998s123" TargetMode="External"/><Relationship Id="rId66" Type="http://schemas.openxmlformats.org/officeDocument/2006/relationships/hyperlink" Target="https://esipa.cz/sbirka/sbsrv.dll/sb?DR=SB&amp;CP=1992s344" TargetMode="External"/><Relationship Id="rId67" Type="http://schemas.openxmlformats.org/officeDocument/2006/relationships/hyperlink" Target="https://esipa.cz/sbirka/sbsrv.dll/sb?DR=SB&amp;CP=2004s500#C06_P171" TargetMode="External"/><Relationship Id="rId68" Type="http://schemas.openxmlformats.org/officeDocument/2006/relationships/hyperlink" Target="https://esipa.cz/sbirka/sbsrv.dll/sb?DR=SB&amp;CP=2004s500#C05_P159" TargetMode="External"/><Relationship Id="rId69" Type="http://schemas.openxmlformats.org/officeDocument/2006/relationships/hyperlink" Target="https://esipa.cz/sbirka/sbsrv.dll/sb?DR=SB&amp;CP=2002s139#C01_P002" TargetMode="External"/><Relationship Id="rId70" Type="http://schemas.openxmlformats.org/officeDocument/2006/relationships/hyperlink" Target="https://esipa.cz/sbirka/sbsrv.dll/sb?DR=SB&amp;CP=2002s139" TargetMode="External"/><Relationship Id="rId71" Type="http://schemas.openxmlformats.org/officeDocument/2006/relationships/hyperlink" Target="https://esipa.cz/sbirka/sbsrv.dll/sb?DR=SB&amp;CP=1991s229" TargetMode="External"/><Relationship Id="rId72" Type="http://schemas.openxmlformats.org/officeDocument/2006/relationships/hyperlink" Target="https://esipa.cz/sbirka/sbsrv.dll/sb?DR=SB&amp;CP=1994s266" TargetMode="External"/><Relationship Id="rId73" Type="http://schemas.openxmlformats.org/officeDocument/2006/relationships/hyperlink" Target="https://esipa.cz/sbirka/sbsrv.dll/sb?DR=SB&amp;CP=1994s072" TargetMode="External"/><Relationship Id="rId74" Type="http://schemas.openxmlformats.org/officeDocument/2006/relationships/hyperlink" Target="https://esipa.cz/sbirka/sbsrv.dll/sb?DR=SB&amp;CP=1992s114#C05_H03_P070" TargetMode="External"/><Relationship Id="rId75" Type="http://schemas.openxmlformats.org/officeDocument/2006/relationships/hyperlink" Target="https://esipa.cz/sbirka/sbsrv.dll/sb?DR=SB&amp;CP=2004s218" TargetMode="External"/><Relationship Id="rId76" Type="http://schemas.openxmlformats.org/officeDocument/2006/relationships/hyperlink" Target="https://esipa.cz/sbirka/sbsrv.dll/sb?DR=SB&amp;CP=2001s100#C01_H03_D002_P023" TargetMode="External"/><Relationship Id="rId77" Type="http://schemas.openxmlformats.org/officeDocument/2006/relationships/hyperlink" Target="https://esipa.cz/sbirka/sbsrv.dll/sb?DR=SB&amp;CP=2000s219" TargetMode="External"/><Relationship Id="rId78" Type="http://schemas.openxmlformats.org/officeDocument/2006/relationships/hyperlink" Target="https://esipa.cz/sbirka/sbsrv.dll/sb?DR=SB&amp;CP=1997s022" TargetMode="External"/><Relationship Id="rId79" Type="http://schemas.openxmlformats.org/officeDocument/2006/relationships/hyperlink" Target="https://esipa.cz/sbirka/sbsrv.dll/sb?DR=SB&amp;CP=2002s163" TargetMode="External"/><Relationship Id="rId80" Type="http://schemas.openxmlformats.org/officeDocument/2006/relationships/hyperlink" Target="https://esipa.cz/sbirka/sbsrv.dll/sb?DR=SB&amp;CP=2002s190" TargetMode="External"/><Relationship Id="rId81" Type="http://schemas.openxmlformats.org/officeDocument/2006/relationships/hyperlink" Target="https://esipa.cz/sbirka/sbsrv.dll/sb?DR=SB&amp;CP=2003s251" TargetMode="External"/><Relationship Id="rId82" Type="http://schemas.openxmlformats.org/officeDocument/2006/relationships/hyperlink" Target="https://esipa.cz/sbirka/sbsrv.dll/sb?DR=SB&amp;CP=2004s128" TargetMode="External"/><Relationship Id="rId83" Type="http://schemas.openxmlformats.org/officeDocument/2006/relationships/hyperlink" Target="https://esipa.cz/sbirka/sbsrv.dll/sb?DR=SB&amp;CP=1997s104" TargetMode="External"/><Relationship Id="rId84" Type="http://schemas.openxmlformats.org/officeDocument/2006/relationships/hyperlink" Target="https://esipa.cz/sbirka/sbsrv.dll/sb?DR=SB&amp;CP=1981s111#P004" TargetMode="External"/><Relationship Id="rId85" Type="http://schemas.openxmlformats.org/officeDocument/2006/relationships/hyperlink" Target="https://esipa.cz/sbirka/sbsrv.dll/sb?DR=SB&amp;CP=1981s111" TargetMode="External"/><Relationship Id="rId86" Type="http://schemas.openxmlformats.org/officeDocument/2006/relationships/hyperlink" Target="https://esipa.cz/sbirka/sbsrv.dll/sb?DR=SB&amp;CP=2001s428#C07_P015" TargetMode="External"/><Relationship Id="rId87" Type="http://schemas.openxmlformats.org/officeDocument/2006/relationships/hyperlink" Target="https://esipa.cz/sbirka/sbsrv.dll/sb?DR=SB&amp;CP=2001s428" TargetMode="External"/><Relationship Id="rId88" Type="http://schemas.openxmlformats.org/officeDocument/2006/relationships/hyperlink" Target="https://esipa.cz/sbirka/sbsrv.dll/sb?DR=SB&amp;CP=2001s274" TargetMode="External"/><Relationship Id="rId89" Type="http://schemas.openxmlformats.org/officeDocument/2006/relationships/hyperlink" Target="https://esipa.cz/sbirka/sbsrv.dll/sb?DR=SB&amp;CP=1978s085#C02_P004" TargetMode="External"/><Relationship Id="rId90" Type="http://schemas.openxmlformats.org/officeDocument/2006/relationships/hyperlink" Target="https://esipa.cz/sbirka/sbsrv.dll/sb?DR=SB&amp;CP=1978s085" TargetMode="External"/><Relationship Id="rId91" Type="http://schemas.openxmlformats.org/officeDocument/2006/relationships/hyperlink" Target="https://esipa.cz/sbirka/sbsrv.dll/sb?DR=SB&amp;CP=2000s352" TargetMode="External"/><Relationship Id="rId92" Type="http://schemas.openxmlformats.org/officeDocument/2006/relationships/hyperlink" Target="http://www.esipa.cz/sbirka/sbsrv.dll/sb?DR=SB&amp;CP=2009s111" TargetMode="External"/><Relationship Id="rId93" Type="http://schemas.openxmlformats.org/officeDocument/2006/relationships/hyperlink" Target="https://esipa.cz/sbirka/sbsrv.dll/sb?DR=SB&amp;CP=2009s227" TargetMode="External"/><Relationship Id="rId94" Type="http://schemas.openxmlformats.org/officeDocument/2006/relationships/hyperlink" Target="https://esipa.cz/sbirka/sbsrv.dll/sb?DR=SB&amp;CP=1991s552" TargetMode="External"/><Relationship Id="rId95" Type="http://schemas.openxmlformats.org/officeDocument/2006/relationships/hyperlink" Target="https://esipa.cz/sbirka/sbsrv.dll/sb?DR=SB&amp;CP=2000s239" TargetMode="External"/><Relationship Id="rId96" Type="http://schemas.openxmlformats.org/officeDocument/2006/relationships/hyperlink" Target="https://esipa.cz/sbirka/sbsrv.dll/sb?DR=SB&amp;CP=2002s380" TargetMode="External"/><Relationship Id="rId97" Type="http://schemas.openxmlformats.org/officeDocument/2006/relationships/hyperlink" Target="https://esipa.cz/sbirka/sbsrv.dll/sb?DR=SB&amp;CP=1997s013#C05_P035" TargetMode="External"/><Relationship Id="rId98" Type="http://schemas.openxmlformats.org/officeDocument/2006/relationships/hyperlink" Target="https://esipa.cz/sbirka/sbsrv.dll/sb?DR=SB&amp;CP=2000s102" TargetMode="External"/><Relationship Id="rId99" Type="http://schemas.openxmlformats.org/officeDocument/2006/relationships/hyperlink" Target="https://esipa.cz/sbirka/sbsrv.dll/sb?DR=SB&amp;CP=2004s018" TargetMode="External"/><Relationship Id="rId100" Type="http://schemas.openxmlformats.org/officeDocument/2006/relationships/hyperlink" Target="https://esipa.cz/sbirka/sbsrv.dll/sb?DR=SB&amp;CP=2004s634" TargetMode="External"/><Relationship Id="rId101" Type="http://schemas.openxmlformats.org/officeDocument/2006/relationships/hyperlink" Target="https://esipa.cz/sbirka/sbsrv.dll/sb?DR=SB&amp;CP=2003s224" TargetMode="External"/><Relationship Id="rId102" Type="http://schemas.openxmlformats.org/officeDocument/2006/relationships/hyperlink" Target="https://esipa.cz/sbirka/sbsrv.dll/sb?DR=SB&amp;CP=1992s360#C04_P022" TargetMode="External"/><Relationship Id="rId103" Type="http://schemas.openxmlformats.org/officeDocument/2006/relationships/hyperlink" Target="https://esipa.cz/sbirka/sbsrv.dll/sb?DR=SB&amp;CP=2004s499" TargetMode="External"/><Relationship Id="rId104" Type="http://schemas.openxmlformats.org/officeDocument/2006/relationships/hyperlink" Target="https://esipa.cz/sbirka/sbsrv.dll/sb?DR=SB&amp;CP=1994s200" TargetMode="External"/><Relationship Id="rId105" Type="http://schemas.openxmlformats.org/officeDocument/2006/relationships/hyperlink" Target="https://esipa.cz/sbirka/sbsrv.dll/sb?DR=SB&amp;CP=2004s499#C01_H03_P068" TargetMode="External"/><Relationship Id="rId106" Type="http://schemas.openxmlformats.org/officeDocument/2006/relationships/hyperlink" Target="https://esipa.cz/sbirka/sbsrv.dll/sb?DR=SB&amp;CP=2006s184" TargetMode="External"/><Relationship Id="rId107" Type="http://schemas.openxmlformats.org/officeDocument/2006/relationships/hyperlink" Target="https://esipa.cz/sbirka/sbsrv.dll/sb?DR=SB&amp;CP=2004s500#C02_H02_D003_P015" TargetMode="External"/><Relationship Id="rId108" Type="http://schemas.openxmlformats.org/officeDocument/2006/relationships/hyperlink" Target="https://esipa.cz/sbirka/sbsrv.dll/sb?DR=SB&amp;CP=2004s500#C02_H06_D004_P058" TargetMode="External"/><Relationship Id="rId109" Type="http://schemas.openxmlformats.org/officeDocument/2006/relationships/hyperlink" Target="https://esipa.cz/sbirka/sbsrv.dll/sb?DR=SB&amp;CP=2004s500#C02_H06_D004_P062" TargetMode="External"/><Relationship Id="rId110" Type="http://schemas.openxmlformats.org/officeDocument/2006/relationships/hyperlink" Target="https://esipa.cz/sbirka/sbsrv.dll/sb?DR=SB&amp;CP=2000s240" TargetMode="External"/><Relationship Id="rId111" Type="http://schemas.openxmlformats.org/officeDocument/2006/relationships/hyperlink" Target="https://esipa.cz/sbirka/sbsrv.dll/sb?DR=SB&amp;CP=2017s183" TargetMode="External"/><Relationship Id="rId112" Type="http://schemas.openxmlformats.org/officeDocument/2006/relationships/hyperlink" Target="https://esipa.cz/sbirka/sbsrv.dll/sb?DR=SB&amp;CP=2009s281" TargetMode="External"/><Relationship Id="rId113" Type="http://schemas.openxmlformats.org/officeDocument/2006/relationships/hyperlink" Target="https://esipa.cz/sbirka/sbsrv.dll/sb?DR=SB&amp;CP=1997s049#C04_P036" TargetMode="External"/><Relationship Id="rId114" Type="http://schemas.openxmlformats.org/officeDocument/2006/relationships/hyperlink" Target="https://esipa.cz/sbirka/sbsrv.dll/sb?DR=SB&amp;CP=1997s049" TargetMode="External"/><Relationship Id="rId115" Type="http://schemas.openxmlformats.org/officeDocument/2006/relationships/hyperlink" Target="https://esipa.cz/sbirka/sbsrv.dll/sb?DR=SB&amp;CP=2016s298" TargetMode="External"/><Relationship Id="rId116" Type="http://schemas.openxmlformats.org/officeDocument/2006/relationships/hyperlink" Target="https://esipa.cz/sbirka/sbsrv.dll/sb?DR=SB&amp;CP=2009s111" TargetMode="External"/><Relationship Id="rId117" Type="http://schemas.openxmlformats.org/officeDocument/2006/relationships/hyperlink" Target="https://esipa.cz/sbirka/sbsrv.dll/sb?DR=SB&amp;CP=1997s077" TargetMode="External"/><Relationship Id="rId118" Type="http://schemas.openxmlformats.org/officeDocument/2006/relationships/hyperlink" Target="https://esipa.cz/sbirka/sbsrv.dll/sb?DR=SB&amp;CP=1997s151" TargetMode="External"/><Relationship Id="rId119" Type="http://schemas.openxmlformats.org/officeDocument/2006/relationships/hyperlink" Target="https://esipa.cz/sbirka/sbsrv.dll/sb?DR=SB&amp;CP=1990s526" TargetMode="External"/><Relationship Id="rId120" Type="http://schemas.openxmlformats.org/officeDocument/2006/relationships/hyperlink" Target="https://esipa.cz/sbirka/sbsrv.dll/sb?DR=SB&amp;CP=2001s246" TargetMode="External"/><Relationship Id="rId121" Type="http://schemas.openxmlformats.org/officeDocument/2006/relationships/hyperlink" Target="https://esipa.cz/sbirka/sbsrv.dll/sb?DR=SB&amp;CP=2006s262" TargetMode="External"/><Relationship Id="rId122" Type="http://schemas.openxmlformats.org/officeDocument/2006/relationships/hyperlink" Target="https://esipa.cz/sbirka/sbsrv.dll/sb?DR=SB&amp;CP=1999s106" TargetMode="External"/><Relationship Id="rId123" Type="http://schemas.openxmlformats.org/officeDocument/2006/relationships/hyperlink" Target="https://esipa.cz/sbirka/sbsrv.dll/sb?DR=SB&amp;CP=2005s127" TargetMode="External"/><Relationship Id="rId124" Type="http://schemas.openxmlformats.org/officeDocument/2006/relationships/hyperlink" Target="https://esipa.cz/sbirka/sbsrv.dll/sb?DR=SB&amp;CP=32011R0305" TargetMode="External"/><Relationship Id="rId125" Type="http://schemas.openxmlformats.org/officeDocument/2006/relationships/hyperlink" Target="https://esipa.cz/sbirka/sbsrv.dll/sb?DR=SB&amp;CP=31989L0106" TargetMode="External"/><Relationship Id="rId126" Type="http://schemas.openxmlformats.org/officeDocument/2006/relationships/hyperlink" Target="https://esipa.cz/sbirka/sbsrv.dll/sb?DR=AZ&amp;CP=2006s183-2012s350#C03_H01_P019" TargetMode="External"/><Relationship Id="rId127" Type="http://schemas.openxmlformats.org/officeDocument/2006/relationships/hyperlink" Target="https://esipa.cz/sbirka/sbsrv.dll/sb?DR=SB&amp;CP=2006s183" TargetMode="External"/><Relationship Id="rId128" Type="http://schemas.openxmlformats.org/officeDocument/2006/relationships/header" Target="header1.xml"/><Relationship Id="rId12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47/2020 Sb. z 12. 3. 2020</dc:title>
  <dc:description>Zákon o územním plánování a stavebním řádu (stavební zákon)</dc:description>
  <dc:subject/>
  <cp:keywords/>
  <cp:category/>
  <cp:lastModifiedBy/>
  <dcterms:created xsi:type="dcterms:W3CDTF">2020-03-12T00:00:00+01:00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