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(4)</w:t>
      </w:r>
      <w:r>
        <w:rPr/>
        <w:t xml:space="preserve"> O hrozící úpadek jde tehdy, lze-li se zřetelem ke všem okolnostem důvodně předpokládat, že dlužník nebude schopen řádně a včas splnit podstatnou část svých peněžitých závazků.</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třetí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dnů ode dne, kdy mu takový návrh došel; nestane-li se tak, má se po uplynutí této lhůty za to, že insolvenční soud vydal rozhodnutí, jímž návrhu vyhověl.</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doručuje věřiteli, nabyvateli jeho pohledávky, dlužníku a insolvenčnímu správci; těmto osobám se doručuje zvlášť. Odvolání proti němu není přípustné, insolvenční soud však tímto rozhodnutím není vázán.</w:t>
      </w:r>
    </w:p>
    <w:p>
      <w:pPr>
        <w:pStyle w:val="Heading4"/>
      </w:pPr>
      <w:r>
        <w:rPr>
          <w:b/>
          <w:bCs/>
        </w:rPr>
        <w:t xml:space="preserve">§ 19</w:t>
      </w:r>
    </w:p>
    <w:p>
      <w:pPr>
        <w:ind w:left="0" w:right="0"/>
      </w:pPr>
      <w:r>
        <w:rPr/>
        <w:t xml:space="preserve">Nabyvatel pohledávky se stává účastníkem insolvenčního řízení, jakmile insolvenční soud podle </w:t>
      </w:r>
      <w:r>
        <w:rPr/>
        <w:t xml:space="preserve">§ 18</w:t>
      </w:r>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r>
        <w:rPr/>
        <w:t xml:space="preserve">§ 34</w:t>
      </w:r>
      <w:r>
        <w:rPr/>
        <w:t xml:space="preserve">.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 3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okresního soudu, který je obecným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 3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 21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Toto usnesení je přijato, jestliže pro ně hlasovala nejméně polovina všech věřitelů přihlášených ke dni předcházejícímu konání schůze věřitelů, počítaná podle výše jejich pohledávek, kteří mají právo hlasovat.</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 21 až 24 a § 25 odst. 3; § 54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 insolvenční soud odvolá z funkce. Insolvenčního správce ustanoveného postupem podle § 25 odst. 3 insolvenční soud odvolá z funkce i tehdy, bylo-li mu zrušeno zvláštní povolení nebo zaniklo-li jeho právo dočasně nebo příležitostně vykonávat činnost insolvenčního správce dlužníka podle § 3 odst. 2 zákona o insolvenčních správcích</w:t>
      </w:r>
      <w:r>
        <w:rPr>
          <w:vertAlign w:val="superscript"/>
        </w:rPr>
        <w:t xml:space="preserve">9a</w:t>
      </w:r>
      <w:r>
        <w:rPr/>
        <w:t xml:space="preserve">) na základě rozhodnutí ministerstva podle zákona o insolvenčních správcích</w:t>
      </w:r>
      <w:r>
        <w:rPr>
          <w:vertAlign w:val="superscript"/>
        </w:rPr>
        <w:t xml:space="preserve">9a</w:t>
      </w:r>
      <w:r>
        <w:rPr/>
        <w:t xml:space="preserve">).</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 31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kterých použil k plnění svých úkolů.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může splnění těchto činností zadat jiným osobám na účet majetkové podstaty se souhlasem insolvenčního soudu a věřitelského výboru; tím nejsou dotčeny jeho povinnosti ani odpovědnost podle tohoto zákona.</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(2)</w:t>
      </w:r>
      <w:r>
        <w:rPr/>
        <w:t xml:space="preserve"> Jednáním podle odstavce 1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(3)</w:t>
      </w:r>
      <w:r>
        <w:rPr/>
        <w:t xml:space="preserve"> Insolvenční správce může pověřit svého zaměstnance i zaměstnance dlužníka, aby za něho jednal v soudních a jiných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třetí osoby vykonávající činnosti, ke kterým je povinen insolvenční správce.</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alespoň 2 věřitelů, jejichž pohledávky počítané podle výše (</w:t>
      </w:r>
      <w:r>
        <w:rPr/>
        <w:t xml:space="preserve">§ 49</w:t>
      </w:r>
      <w:r>
        <w:rPr/>
        <w:t xml:space="preserve"> odst. 1) činí alespoň desetinu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 50 odst. 2). Předmětem jednání první schůze věřitelů je vždy volba věřitelského výboru a usnesení věřitelů podle § 29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Učiní tak jen na návrh dlužníka, insolvenčního správce nebo některého z věřitelů. Návrh lze podat i přede dnem konání schůze věřitelů.</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 169),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(3)</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t xml:space="preserve">Nejde-li o volbu věřitelského výboru, nesmí žádný z věřitelů hlasovat ve vlastní věci. Ve věci osoby, která tvoří s věřitelem koncern, nebo ve věci osoby věřiteli blízké, může věřitel hlasovat, nestanoví-li tento zákon jinak.</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 62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r>
        <w:rPr/>
        <w:t xml:space="preserve">§ 56</w:t>
      </w:r>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 33 odst. 3 a § 73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Novou schůzi věřitelů za účelem ustanovení věřitelského výboru svolá insolvenční soud jen na návrh oprávněné osoby (§ 47 odst. 1).</w:t>
      </w:r>
    </w:p>
    <w:p>
      <w:pPr>
        <w:ind w:left="0" w:right="0"/>
      </w:pPr>
      <w:r>
        <w:rPr>
          <w:b/>
          <w:bCs/>
        </w:rPr>
        <w:t xml:space="preserve">(3)</w:t>
      </w:r>
      <w:r>
        <w:rPr/>
        <w:t xml:space="preserve"> Proti rozhodnutí, jímž insolvenční soud jmenuje prozatímní věřitelský výbor, není odvolání přípustné. Rozhodnutí se doručuje zvlášť dlužníkovi, insolvenčnímu správci nebo předběžnému správci, přihlášenému věřiteli, který jmenování prozatímního věřitelského výboru navrhl, a jmenovaným členům prozatímního věřitelského výboru.</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 těmto osobám se rozhodnutí doručuje zvlášť.</w:t>
      </w:r>
    </w:p>
    <w:p>
      <w:pPr>
        <w:ind w:left="0" w:right="0"/>
      </w:pPr>
      <w:r>
        <w:rPr>
          <w:b/>
          <w:bCs/>
        </w:rPr>
        <w:t xml:space="preserve">(2)</w:t>
      </w:r>
      <w:r>
        <w:rPr/>
        <w:t xml:space="preserve"> Proti rozhodnutí, kterým se návrh na odvolání z funkce zamítá, může podat odvolání osoba, která návrh podala. Těmto osobám se rozhodnutí doručuje zvlášť.</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insolvenčnímu správci, státnímu zastupitelství, které vstoupilo do insolvenčního řízení, a věřitelskému výboru. Soudní rozhodnutí se doručuje zvlášť také osobám, o jejichž podání insolvenční soud rozhoduje, a osobám, které mají v insolvenčním řízení něco osobně vykonat. Písemnosti, o nichž tak stanoví zvláštní právní předpis</w:t>
      </w:r>
      <w:r>
        <w:rPr>
          <w:vertAlign w:val="superscript"/>
        </w:rPr>
        <w:t xml:space="preserve">16</w:t>
      </w:r>
      <w:r>
        <w:rPr/>
        <w:t xml:space="preserve">), se doručují zvlášť také orgánu, který vede obchodní nebo jiný rejstřík, v němž je dlužník zapsán.</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9"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 77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 Jestliže insolvenční soud nenařídí předběžné opatření, doručí rozhodnutí o návrhu na předběžné opatření podle odstavce 3 zvlášť dlužníku, insolvenčnímu správci a osobě, která takový návrh podala.</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10"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nebo v elektronické podobě jejím uznávaným elektronickým podpisem, nebo zaslán prostřednictvím její datové schránky;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nebo uznávaným elektronickým podpisem insolvenčního navrhovatele opatřena k insolvenčnímu návrhu připojená procesní plná moc. To platí obdobně, jedná-li za insolvenčního navrhovatele, jímž je právnická osoba, jeho zaměstnanec (člen), který tím byl pověřen statutárním orgánem.</w:t>
      </w:r>
    </w:p>
    <w:p>
      <w:pPr>
        <w:ind w:left="0" w:right="0"/>
      </w:pPr>
      <w:r>
        <w:rPr>
          <w:b/>
          <w:bCs/>
        </w:rPr>
        <w:t xml:space="preserve">(4)</w:t>
      </w:r>
      <w:r>
        <w:rPr/>
        <w:t xml:space="preserve"> O tom, že se k insolvenčnímu návrhu nepřihlíží, vyrozumí insolvenční soud insolvenčního navrhovatele usnesením, proti němuž nejsou opravné prostředky přípustné a které mu doručí zvlášť; ustanovení tohoto zákona o doručení vyhláškou se nepoužije.</w:t>
      </w:r>
    </w:p>
    <w:p>
      <w:pPr>
        <w:ind w:left="0" w:right="0"/>
      </w:pPr>
      <w:r>
        <w:rPr>
          <w:b/>
          <w:bCs/>
        </w:rPr>
        <w:t xml:space="preserve">(5)</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Jestliže insolvenční návrh dojde insolvenčnímu soudu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Vyhláška podle odstavce 1 se doručuje účastníkům insolvenčního řízení; odvolání proti ní není přípustné.</w:t>
      </w:r>
    </w:p>
    <w:p>
      <w:pPr>
        <w:pStyle w:val="Heading4"/>
      </w:pPr>
      <w:r>
        <w:rPr>
          <w:b/>
          <w:bCs/>
        </w:rPr>
        <w:t xml:space="preserve">§ 102</w:t>
      </w:r>
    </w:p>
    <w:p>
      <w:pPr>
        <w:ind w:left="0" w:right="0"/>
      </w:pPr>
      <w:r>
        <w:rPr>
          <w:b/>
          <w:bCs/>
        </w:rPr>
        <w:t xml:space="preserve">(1)</w:t>
      </w:r>
      <w:r>
        <w:rPr/>
        <w:t xml:space="preserve"> O zahájení insolvenčního řízení vyrozumí insolvenční soud neprodleně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úřad, v jehož obvodu má dlužník sídlo, je-li dlužníkem právnická osoba, jinak finanční úřad, v jehož obvodu má dlužník své bydliště,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celní úřad, v jehož obvodu má dlužník sídlo, je-li dlužníkem právnická osoba, jinak celní úřad, v jehož obvodu má dlužník své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Úřad práce České republiky – krajskou pobočku nebo pobočku pro hlavní město Prahu (dále jen „krajská pobočka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údajů obsažených v insolvenčním návrhu a listinách k němu připojených probíhá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zrušeno zákonem zákonem č. </w:t>
      </w:r>
      <w:hyperlink r:id="rId11" w:history="1">
        <w:r>
          <w:rPr>
            <w:color w:val="darkblue"/>
            <w:u w:val="single"/>
          </w:rPr>
          <w:t xml:space="preserve">296/2007 Sb.</w:t>
        </w:r>
      </w:hyperlink>
      <w:r>
        <w:rPr/>
        <w:t xml:space="preserve"> (účinnost: 1. ledna 2008)</w:t>
      </w:r>
    </w:p>
    <w:p>
      <w:pPr>
        <w:ind w:left="0" w:right="0"/>
      </w:pPr>
      <w:r>
        <w:rPr>
          <w:b/>
          <w:bCs/>
        </w:rPr>
        <w:t xml:space="preserve">(2)</w:t>
      </w:r>
      <w:r>
        <w:rPr/>
        <w:t xml:space="preserve"> Je-li insolvenčnímu soudu již v době zahájení insolvenčního řízení známo, že správcem daně dlužníka je jiný finanční úřad, vyrozumí jej o zahájení insolvenčního řízení namísto finančního úřadu uvedeného v odstavci 1 písm. a). Pro celní úřad to platí obdobně.</w:t>
      </w:r>
    </w:p>
    <w:p>
      <w:pPr>
        <w:ind w:left="0" w:right="0"/>
      </w:pPr>
      <w:r>
        <w:rPr>
          <w:b/>
          <w:bCs/>
        </w:rPr>
        <w:t xml:space="preserve">(3)</w:t>
      </w:r>
      <w:r>
        <w:rPr/>
        <w:t xml:space="preserve"> Je-li insolvenčnímu soudu již v době zahájení insolvenčního řízení známo, že dlužník má majetek, ohledně kterého lze vést výkon rozhodnutí nebo exekuci u jiného soudu, než je obecný soud dlužníka, vyrozumí o zahájení insolvenčního řízení i tento soud.</w:t>
      </w:r>
    </w:p>
    <w:p>
      <w:pPr>
        <w:ind w:left="0" w:right="0"/>
      </w:pPr>
      <w:r>
        <w:rPr>
          <w:b/>
          <w:bCs/>
        </w:rPr>
        <w:t xml:space="preserve">(4)</w:t>
      </w:r>
      <w:r>
        <w:rPr/>
        <w:t xml:space="preserve"> Vyjdou-li údaje nezbytné k postupu insolvenčního soudu podle odstavců 1 až 3 najevo až po zahájení insolvenčního řízení, avšak ještě před rozhodnutím o úpadku, insolvenční soud příslušné osoby vyrozumí o zahájení insolvenčního řízení neprodleně poté, kdy tyto údaje vyšly najevo.</w:t>
      </w:r>
    </w:p>
    <w:p>
      <w:pPr>
        <w:ind w:left="0" w:right="0"/>
      </w:pPr>
      <w:r>
        <w:rPr>
          <w:b/>
          <w:bCs/>
        </w:rPr>
        <w:t xml:space="preserve">(5)</w:t>
      </w:r>
      <w:r>
        <w:rPr/>
        <w:t xml:space="preserve"> Povinnost vyrozumět osoby podle odstavců 1 až 3 splní insolvenční soud tím, že jim zvlášť doručí vyhlášku, kterou se oznamuje zahájení insolvenčního řízení.</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t xml:space="preserve">Podá-li insolvenční návrh věřitel, je povinen doložit, že má proti dlužníkovi splatnou pohledávku, a k návrhu připojit její přihlášku; jde-li o pohledávku, která se do insolvenčního řízení jinak nepřihlašuje, považuje se po rozhodnutí o úpadku za uplatněnou podle § 203.</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(4)</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(5)</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(2)</w:t>
      </w:r>
      <w:r>
        <w:rPr/>
        <w:t xml:space="preserve"> Výši zálohy může insolvenční soud určit až do částky 50 000 Kč. Je-li insolvenčních navrhovatelů více, jsou povinni zaplatit zálohu společně a nerozdílně.</w:t>
      </w:r>
    </w:p>
    <w:p>
      <w:pPr>
        <w:ind w:left="0" w:right="0"/>
      </w:pPr>
      <w:r>
        <w:rPr>
          <w:b/>
          <w:bCs/>
        </w:rPr>
        <w:t xml:space="preserve">(3)</w:t>
      </w:r>
      <w:r>
        <w:rPr/>
        <w:t xml:space="preserve"> Nebude-li záloha na náklady insolvenčního řízení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(4)</w:t>
      </w:r>
      <w:r>
        <w:rPr/>
        <w:t xml:space="preserve"> Nejde-li o dlužníka, může osoba, která zaplatila zálohu na náklady insolvenčního řízení, uplatnit její náhradu v insolvenčním řízení jako pohledávku za majetkovou podstatou.</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těmto osobám, jakož i orgánu nebo osobě, která rozhodnutí nebo opatření při provádění výkonu rozhodnutí nebo exekuce přijala nebo připravovala, se rozhodnutí insolvenčního soudu podle věty druhé doručuje zvlášť.</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 Jiné rozhodnutí o návrhu na předběžné opatření se doručí zvlášť dlužníku a osobě, která takový návrh podala.</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8"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Tato lhůta nesmí být delší než 7 dnů; to neplatí, jde-li o insolvenční návrh podle </w:t>
      </w:r>
      <w:r>
        <w:rPr/>
        <w:t xml:space="preserve">§ 98</w:t>
      </w:r>
      <w:r>
        <w:rPr/>
        <w:t xml:space="preserve">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 104 odst. 1 předložil i dlužník, který není insolvenčním navrhovatelem; má-li insolvenční navrhovatel vůči dlužníku vykonatelnou pohledávku, uloží insolvenční soud tuto povinnost dlužníku vždy. Seznam majetku zveřejní v takovém případě v insolvenčním rejstříku až po rozhodnutí o úpadku.</w:t>
      </w:r>
    </w:p>
    <w:p>
      <w:pPr>
        <w:ind w:left="0" w:right="0"/>
      </w:pPr>
      <w:r>
        <w:rPr>
          <w:b/>
          <w:bCs/>
        </w:rPr>
        <w:t xml:space="preserve">(4)</w:t>
      </w:r>
      <w:r>
        <w:rPr/>
        <w:t xml:space="preserve"> Rozhodnutí podle odstavce 1 doručí insolvenční soud zvlášť insolvenčnímu navrhovateli a dlužníku; osobou oprávněnou k podání odvolání je insolvenční navrhovatel. Rozhodnutí podle odstavce 3 doručí insolvenční soud zvlášť dlužníku; proti tomuto rozhodnutí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pořádkovou pokutu určenou do výše 50 000 Kč se zřetelem ke všem okolnostem věci.</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Rozhodnutí podle odstavců 1 až 3 doručí insolvenční soud zvlášť insolvenčnímu navrhovateli a dlužníku; osobou oprávněnou k podání odvolání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t xml:space="preserve">Skutečnosti, na jejichž základě insolvenční soud rozhoduje, musí být v rámci projednání insolvenčního návrhu osvědčeny.</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výrok, jímž se určí místo a termín konání schůze věřitelů a přezkumného jednání,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seznamy svého majetku a závazků s uvedením svých dlužníků a věřitelů.</w:t>
      </w:r>
    </w:p>
    <w:p>
      <w:pPr>
        <w:ind w:left="0" w:right="0"/>
      </w:pPr>
      <w:r>
        <w:rPr>
          <w:b/>
          <w:bCs/>
        </w:rPr>
        <w:t xml:space="preserve">(3)</w:t>
      </w:r>
      <w:r>
        <w:rPr/>
        <w:t xml:space="preserve"> Je-li s rozhodnutím o úpadku spojeno rozhodnutí o povolení oddlužení, činí lhůta k přihlášení pohledávek 30 dnů.</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Schůzi věřitelů svolá insolvenční soud tak, aby se konala nejpozději do 3 měsíců od rozhodnutí o úpadku.</w:t>
      </w:r>
    </w:p>
    <w:p>
      <w:pPr>
        <w:ind w:left="0" w:right="0"/>
      </w:pPr>
      <w:r>
        <w:rPr>
          <w:b/>
          <w:bCs/>
        </w:rPr>
        <w:t xml:space="preserve">(2)</w:t>
      </w:r>
      <w:r>
        <w:rPr/>
        <w:t xml:space="preserve"> Termín přezkumného jednání určí insolvenční soud tak, aby se konalo nejpozději do 2 měsíců po uplynutí lhůty k přihlášení pohledávek, ne však dříve než po 7 dnech od uplynutí této lhůty; z důvodů hodných zvláštního zřetele může insolvenční soud tuto lhůtu prodloužit. Je-li s rozhodnutím o úpadku spojeno rozhodnutí o povolení oddlužení, určí insolvenční soud termín prvního přezkumného jednání tak, aby se konalo nejpozději do 30 dnů po uplynutí lhůty k přihlášení pohledávek.</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b/>
          <w:bCs/>
        </w:rPr>
        <w:t xml:space="preserve">(1)</w:t>
      </w:r>
      <w:r>
        <w:rPr/>
        <w:t xml:space="preserve"> Rozhodnutí o úpadku doručí insolvenční soud zvlášť dlužníkovi, insolvenčnímu správci, předběžnému správci, insolvenčnímu navrhovateli a osobám, které přistoupily k řízení; dlužníku a insolvenčnímu správci se toto rozhodnutí doručuje do vlastních rukou.</w:t>
      </w:r>
    </w:p>
    <w:p>
      <w:pPr>
        <w:ind w:left="0" w:right="0"/>
      </w:pPr>
      <w:r>
        <w:rPr>
          <w:b/>
          <w:bCs/>
        </w:rPr>
        <w:t xml:space="preserve">(2)</w:t>
      </w:r>
      <w:r>
        <w:rPr/>
        <w:t xml:space="preserve"> Považuje-li to za vhodné, může insolvenční soud doručit rozhodnutí o úpadku nebo jeho zkrácené znění zvlášť i věřitelům dlužníka, kteří přihlásili své pohledávky před jeho vydáním.</w:t>
      </w:r>
    </w:p>
    <w:p>
      <w:pPr>
        <w:pStyle w:val="Heading5"/>
      </w:pPr>
      <w:r>
        <w:rPr>
          <w:b/>
          <w:bCs/>
        </w:rPr>
        <w:t xml:space="preserve">§ 139</w:t>
      </w:r>
      <w:r>
        <w:rPr>
          <w:rStyle w:val="hidden"/>
        </w:rPr>
        <w:t xml:space="preserve"> -</w:t>
      </w:r>
      <w:br/>
      <w:r>
        <w:rPr/>
        <w:t xml:space="preserve">Oznámení o vydání rozhodnutí o úpadku</w:t>
      </w:r>
    </w:p>
    <w:p>
      <w:pPr>
        <w:ind w:left="0" w:right="0"/>
      </w:pPr>
      <w:r>
        <w:rPr>
          <w:b/>
          <w:bCs/>
        </w:rPr>
        <w:t xml:space="preserve">(1)</w:t>
      </w:r>
      <w:r>
        <w:rPr/>
        <w:t xml:space="preserve"> O vydání rozhodnutí o úpadku vyrozumí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který vede obchodní nebo jiný rejstřík, v němž je dlužník zapsán,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úřad, v jehož obvodu má dlužník sídlo, je-li právnickou osobou, jinak finanční úřad, v jehož obvodu má dlužník bydliště; místo toho vyrozumí jiný finanční úřad, o němž je mu známo, že je správcem daně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krajskou pobočku Úřadu práce, v jejímž obvodu má dlužník, který je zaměstnavatelem, sídlo nebo bydliště, je-li dlužníkem fyzická osoba, která nemá sídlo,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příslušnou okresní správu sociálního zabezpečení,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 soud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soud, správce daně, soudního exekutora nebo jiný orgán, u kterého podle dosavadních výsledků insolvenčního řízení probíhá řízení o nárocích, které se týkají majetkové podstaty nebo které mají být uspokojeny z majetkové podstaty, včetně řízení o výkon rozhodnutí nebo exekuce na majetek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Českou národní banku, 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orgán nebo osobu, která vede veřejný či neveřejný seznam, který podle zvláštního právního předpisu osvědčuje vlastnictví dlužníka k majetkové podstatě nebo existenci práva dlužníka náležejícího do majetkové podstaty, zejména katastrální pracoviště, která v katastru nemovitostí evidují majetek, o němž je insolvenčnímu soudu známo, že náleží dlužníkovi; Notářskou komoru České republiky, která v Rejstříku zástav eviduje majetek, o němž je insolvenčnímu soudu známo, že náleží dlužníkovi; Středisko cenných papírů, které eviduje zaknihované cenné papíry dlužníka.</w:t>
      </w:r>
    </w:p>
    <w:p>
      <w:pPr>
        <w:ind w:left="0" w:right="0"/>
      </w:pPr>
      <w:r>
        <w:rPr>
          <w:b/>
          <w:bCs/>
        </w:rPr>
        <w:t xml:space="preserve">(2)</w:t>
      </w:r>
      <w:r>
        <w:rPr/>
        <w:t xml:space="preserve"> Povinnost vyrozumět osoby podle odstavce 1 splní insolvenční soud tím, že jim zvlášť doručí rozhodnutí o úpadku.</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12"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b/>
          <w:bCs/>
        </w:rPr>
        <w:t xml:space="preserve">(1)</w:t>
      </w:r>
      <w:r>
        <w:rPr/>
        <w:t xml:space="preserve"> Rozhodnutí o zamítnutí insolvenčního návrhu se doručuje zvlášť dlužníkovi a insolvenčnímu navrhovateli.</w:t>
      </w:r>
    </w:p>
    <w:p>
      <w:pPr>
        <w:ind w:left="0" w:right="0"/>
      </w:pPr>
      <w:r>
        <w:rPr>
          <w:b/>
          <w:bCs/>
        </w:rPr>
        <w:t xml:space="preserve">(2)</w:t>
      </w:r>
      <w:r>
        <w:rPr/>
        <w:t xml:space="preserve"> 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předběžné opatření však nelze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 149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Jestliže by projednání a rozhodnutí incidenčního sporu v rámci insolvenčního řízení mohlo vést k průtahům v insolvenčním řízení, přikáže předseda insolvenčního soudu takový spor jinému soudci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 80 odst. 1, účastníkům řízení se písemnosti doručují vedle doručení vyhláškou i zvlášť a rozhodnutí ve věci samé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 122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 a pojistné na důchodové spoření, pohledávky vzniklé opravou výše daně u pohledávek za dlužníkem v insolvenčním řízení podle zákona upravujícího daň z přidané hodnoty,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a za prostředky odvedené podle zvláštních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 Podobu formuláře zveřejní ministerstvo způsobem umožňujícím dálkový přístup; tato služba nesmí být zpoplatněna.</w:t>
      </w:r>
    </w:p>
    <w:p>
      <w:pPr>
        <w:pStyle w:val="Heading5"/>
      </w:pPr>
      <w:r>
        <w:rPr>
          <w:b/>
          <w:bCs/>
        </w:rPr>
        <w:t xml:space="preserve">§ 177</w:t>
      </w:r>
    </w:p>
    <w:p>
      <w:pPr>
        <w:ind w:left="0" w:right="0"/>
      </w:pPr>
      <w:r>
        <w:rPr/>
        <w:t xml:space="preserve">K přihlášce pohledávky je nutné připojit listiny, kterých se přihláška dovolává. Vykonatelnost pohledávky se prokazuje veřejnou listinou.</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 178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 178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které se zvlášť doručuje věřiteli, dlužníku a insolvenčnímu správci; odvolání proti němu může podat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je odvolání přípustné a které se doručuje zvlášť přihlášenému věřiteli, dlužníku a insolvenčnímu správci; odvolání proti němu může podat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se doručuje zvlášť přihlášenému věřiteli, dlužníku a insolvenčnímu správci. Proti tomuto rozhodnutí, které musí být odůvodněno, nejsou opravné prostředky přípustné; v odůvodnění však insolvenční soud vždy uvede důvod zániku pohledávky.</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Insolvenční soud dále bez zbytečného odkladu zveřejní v insolvenčním rejstříku každou změnu seznamu přihlášených pohledávek.</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 O změně termínu nebo místa konání přezkumného jednání vyrozumí insolvenční soud zvlášť také osoby uvedené v § 139 odst. 1, pokud jde o přihlášené věřitele.</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tato lhůta však neskončí dříve než uplynutím 15 dnů od doručení vyrozumění podle </w:t>
      </w:r>
      <w:r>
        <w:rPr/>
        <w:t xml:space="preserve">§ 197</w:t>
      </w:r>
      <w:r>
        <w:rPr/>
        <w:t xml:space="preserve">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 Podobu formuláře zveřejní ministerstvo způsobem umožňujícím dálkový přístup; tato služba nesmí být zpoplatněna.</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 43 občanského soudního řádu se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w:t>
      </w:r>
    </w:p>
    <w:p>
      <w:pPr>
        <w:ind w:left="0" w:right="0"/>
      </w:pPr>
      <w:r>
        <w:rPr>
          <w:b/>
          <w:bCs/>
        </w:rPr>
        <w:t xml:space="preserve">(4)</w:t>
      </w:r>
      <w:r>
        <w:rPr/>
        <w:t xml:space="preserve"> Rozhodnutí podle odstavce 3 se doručuje zvlášť věřiteli, který popřel pohledávku, věřiteli popřené pohledávky, dlužníku a insolvenčnímu správci. Osobou oprávněnou k podání odvolání proti tomuto rozhodnutí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insolvenční soud v upraveném seznamu pohledávek; učiní tak i bez návrhu.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kterým se rozhodnutí, proti němuž není odvolání přípustné, doručuje, a to zvlášť.</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t xml:space="preserve">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Rozhodnutí podle odstavce 4, proti němuž není odvolání přípustné, se doručuje zvlášť insolvenčnímu správci, dlužníku a zajištěným věřitelům, kterých se týká.</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 235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které se doručuje zvlášť dlužníku, insolvenčnímu správci a orgánu, který řízení vede,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b/>
          <w:bCs/>
        </w:rPr>
        <w:t xml:space="preserve">(1)</w:t>
      </w:r>
      <w:r>
        <w:rPr/>
        <w:t xml:space="preserve"> Rozhodnutí o tom, zda schvaluje dohodu o vypořádání společného jmění manželů, doručuje insolvenční soud účastníkům dohody a věřitelskému výboru, a to zvlášť.</w:t>
      </w:r>
    </w:p>
    <w:p>
      <w:pPr>
        <w:ind w:left="0" w:right="0"/>
      </w:pPr>
      <w:r>
        <w:rPr>
          <w:b/>
          <w:bCs/>
        </w:rPr>
        <w:t xml:space="preserve">(2)</w:t>
      </w:r>
      <w:r>
        <w:rPr/>
        <w:t xml:space="preserve"> 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t xml:space="preserve">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Rozhodnutí o návrhu insolvenčního správce na vydání výtěžku zpeněžení podle odstavce 2 se doručuje zvlášť dlužníku, insolvenčnímu správci, zajištěnému věřiteli, jemuž má být výtěžek vydán, a věřitelům, kteří proti němu podali námitky; jen tyto osoby mohou proti rozhodnutí podat odvolání.</w:t>
      </w:r>
    </w:p>
    <w:p>
      <w:pPr>
        <w:pStyle w:val="Heading4"/>
      </w:pPr>
      <w:r>
        <w:rPr>
          <w:b/>
          <w:bCs/>
        </w:rPr>
        <w:t xml:space="preserve">§ 299</w:t>
      </w:r>
    </w:p>
    <w:p>
      <w:pPr>
        <w:jc w:val="center"/>
        <w:ind w:left="0" w:right="0"/>
      </w:pPr>
      <w:r>
        <w:rPr/>
        <w:t xml:space="preserve">zrušen zákonem č. </w:t>
      </w:r>
      <w:hyperlink r:id="rId12"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 předvolání k tomuto jednání insolvenční soud zvlášť doručí insolvenčnímu správci, dlužníku, věřitelům a státnímu zastupitelství, kteří podali námitky proti konečné zprávě, a věřitelskému výboru.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b/>
          <w:bCs/>
        </w:rPr>
        <w:t xml:space="preserve">(1)</w:t>
      </w:r>
      <w:r>
        <w:rPr/>
        <w:t xml:space="preserve"> Vydání cenných papírů na základě schváleného reorganizačního plánu není veřejnou nabídkou cenných papírů.</w:t>
      </w:r>
    </w:p>
    <w:p>
      <w:pPr>
        <w:ind w:left="0" w:right="0"/>
      </w:pPr>
      <w:r>
        <w:rPr>
          <w:b/>
          <w:bCs/>
        </w:rPr>
        <w:t xml:space="preserve">(2)</w:t>
      </w:r>
      <w:r>
        <w:rPr/>
        <w:t xml:space="preserve"> 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a na náklady navrhovatele jej doručí zvlášť původním i novým věřitelům.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Své rozhodnutí doručí zvlášť dlužníku, navrhovateli reorganizace, insolvenčnímu správci a věřitelskému výboru; tyto osoby mohou proti tomuto rozhodnutí podat odvolání.</w:t>
      </w:r>
    </w:p>
    <w:p>
      <w:pPr>
        <w:ind w:left="0" w:right="0"/>
      </w:pPr>
      <w:r>
        <w:rPr>
          <w:b/>
          <w:bCs/>
        </w:rPr>
        <w:t xml:space="preserve">(3)</w:t>
      </w:r>
      <w:r>
        <w:rPr/>
        <w:t xml:space="preserve"> O přeměně reorganizace v konkurs podle odstavce 1 písm. d) až f) rozhodne insolvenční soud po jednání, k němuž předvolá všechny osoby uvedené v odstavci 2; těmto osobám se rozhodnutí insolvenčního soudu doručuje zvlášť a mohou proti němu podat odvolání.</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(3)</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 právo na zajištění, které dlužník poskytl,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finanční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13"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r>
        <w:rPr/>
        <w:t xml:space="preserve">§ 367</w:t>
      </w:r>
      <w:r>
        <w:rPr/>
        <w:t xml:space="preserve"> odst. 1 (dále jen „orgán dozoru nebo dohledu“). Tím není dotčeno ustanovení </w:t>
      </w:r>
      <w:r>
        <w:rPr/>
        <w:t xml:space="preserve">§ 97</w:t>
      </w:r>
      <w:r>
        <w:rPr/>
        <w:t xml:space="preserve">. V návrhu orgán dozoru nebo dohledu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2 písm. a) zákona o ozdravených postupech a řešení krize na finančním trhu (dále jen „obchodník s cennými papíry s počátečním kapitálem 730 000 EUR“) nebo osobou podle § 367 odst. 1 písm. g) se § 97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podle zákona upravujícího ozdravné postupy a řešení krize na finančním trhu (dále jen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 101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Pohledávky za bankami, úvěrními a spořitelními družstvy</w:t>
      </w:r>
    </w:p>
    <w:p>
      <w:pPr>
        <w:ind w:left="0" w:right="0"/>
      </w:pPr>
      <w:r>
        <w:rPr>
          <w:b/>
          <w:bCs/>
        </w:rPr>
        <w:t xml:space="preserve">(1)</w:t>
      </w:r>
      <w:r>
        <w:rPr/>
        <w:t xml:space="preserve"> Pohledávky jsou uspokojovány před pohledávkami nezajištěných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Fondu pojištění vkladů vzniklé podle § 41h odst. 2 zákona o bankách.</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375</w:t>
      </w:r>
      <w:r>
        <w:rPr>
          <w:rStyle w:val="hidden"/>
        </w:rPr>
        <w:t xml:space="preserve"> -</w:t>
      </w:r>
      <w:br/>
      <w:r>
        <w:rPr/>
        <w:t xml:space="preserve">Hypoteční podstata</w:t>
      </w:r>
    </w:p>
    <w:p>
      <w:pPr>
        <w:ind w:left="0" w:right="0"/>
      </w:pPr>
      <w:r>
        <w:rPr>
          <w:b/>
          <w:bCs/>
        </w:rPr>
        <w:t xml:space="preserve">(1)</w:t>
      </w:r>
      <w:r>
        <w:rPr/>
        <w:t xml:space="preserve"> Je-li dlužníkem banka, které byla odňata licence, majetek sloužící ke krytí hypotečních zástavních listů podle zvláštního právního předpisu tvoří hypoteční podstatu.</w:t>
      </w:r>
    </w:p>
    <w:p>
      <w:pPr>
        <w:ind w:left="0" w:right="0"/>
      </w:pPr>
      <w:r>
        <w:rPr>
          <w:b/>
          <w:bCs/>
        </w:rPr>
        <w:t xml:space="preserve">(2)</w:t>
      </w:r>
      <w:r>
        <w:rPr/>
        <w:t xml:space="preserve"> Z výtěžku zpeněžení hypoteční podstaty se kdykoli uspokojí náklady spojené se správou a zpeněžováním hypoteční podstaty a po jejím zpeněžení pohledávky majitelů hypotečních zástavních listů. Zbude-li po uspokojení těchto pohledávek část výtěžku zpeněžení hypoteční podstaty, použije se v rozvrhu k uspokojení ostatních pohledávek. Nepostačuje-li výtěžek zpeněžení hypoteční podstaty k uspokojení pohledávek majitelů hypotečních zástavních listů v plné výši, uspokojí se tyto pohledávky poměrně. Neuspokojená část těchto pohledávek se při rozvrhu zařadí mezi ostatní pohledávky.</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(2)</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(3)</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(4)</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(5)</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 která nemá dluhy z podnikání.</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391</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5 letech,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 3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 Podobu formuláře zveřejní ministerstvo způsobem umožňujícím dálkový přístup; tato služba nesmí být zpoplatněna.</w:t>
      </w:r>
    </w:p>
    <w:p>
      <w:pPr>
        <w:pStyle w:val="Heading3"/>
      </w:pPr>
      <w:r>
        <w:rPr>
          <w:b/>
          <w:bCs/>
        </w:rPr>
        <w:t xml:space="preserve">§ 392</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a seznam závazků,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30 % jeho pohledávky.</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 Jsou-li zde osoby ochotné poskytnout dlužníkovi za účelem splnění oddlužení dar nebo mu po dobu trvání oddlužení platit pravidelné peněžní dávky, připojí dlužník k návrhu na povolení oddlužení i písemnou darovací smlouvu nebo smlouvu o důchodu; podpisy těchto osob na smlouvách musí být úředně ověřeny.</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Neobsahuje-li návrh na povolení oddlužení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oddlužení podala; odvolání proti němu může podat jen osoba, která návrh na povolení oddlužení podala.</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osobě, která návrh podala, dlužníku, insolvenčnímu správci a věřitelskému výboru; odvolání proti němu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osobě, která návrh podala,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zpeněžením majetkové podstaty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o tomto návrhu a po dobu trvání účinků oddlužení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hodnota plnění, které by při oddlužení obdrželi nezajištění věřitelé, bude nižší než 30 % jejich pohledávek, ledaže tito věřitelé s nižším plněním souhlasí.</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Rozhodnutí o zamítnutí návrhu na povolení oddlužení se doručuje dlužníku, osobě, která návrh podala, insolvenčnímu správci a věřitelskému výboru. Odvolání proti němu může podat pouze osoba, která návrh podala.</w:t>
      </w:r>
    </w:p>
    <w:p>
      <w:pPr>
        <w:pStyle w:val="Heading4"/>
      </w:pPr>
      <w:r>
        <w:rPr>
          <w:b/>
          <w:bCs/>
        </w:rPr>
        <w:t xml:space="preserve">§ 396</w:t>
      </w:r>
    </w:p>
    <w:p>
      <w:pPr>
        <w:ind w:left="0" w:right="0"/>
      </w:pPr>
      <w:r>
        <w:rPr/>
        <w:t xml:space="preserve">Jestliže insolvenční soud návrh na povolení oddlužení odmítne, vezme na vědomí jeho zpětvzetí nebo jej zamítne, rozhodne současně o způsobu řešení dlužníkova úpadku konkursem.</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a seznam závazků. Rozhodnutí o povolení oddlužení se doručuje dlužníku, insolvenčnímu správci a věřitelskému výboru. Odvolání proti němu není přípustné.</w:t>
      </w:r>
    </w:p>
    <w:p>
      <w:pPr>
        <w:ind w:left="0" w:right="0"/>
      </w:pPr>
      <w:r>
        <w:rPr>
          <w:b/>
          <w:bCs/>
        </w:rPr>
        <w:t xml:space="preserve">(2)</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p>
    <w:p>
      <w:pPr>
        <w:ind w:left="0" w:right="0"/>
      </w:pPr>
      <w:r>
        <w:rPr>
          <w:b/>
          <w:bCs/>
        </w:rPr>
        <w:t xml:space="preserve">(1)</w:t>
      </w:r>
      <w:r>
        <w:rPr/>
        <w:t xml:space="preserve"> Oddlužení lze provést zpeněžením majetkové podstaty nebo plněním splátkového kalendáře.</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w:t>
      </w:r>
    </w:p>
    <w:p>
      <w:pPr>
        <w:ind w:left="0" w:right="0"/>
      </w:pPr>
      <w:r>
        <w:rPr>
          <w:b/>
          <w:bCs/>
        </w:rPr>
        <w:t xml:space="preserve">(3)</w:t>
      </w:r>
      <w:r>
        <w:rPr/>
        <w:t xml:space="preserve"> Při oddlužení plněním splátkového kalendáře je dlužník povinen po dobu 5 let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 Tuto částku rozvrhne dlužník prostřednictvím insolvenčního správce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(4)</w:t>
      </w:r>
      <w:r>
        <w:rPr/>
        <w:t xml:space="preserve"> Dlužníku, který o to požádal v návrhu na povolení oddlužení, může insolvenční soud stanovit jinou výši měsíčních splátek. Učiní tak jen tehdy, lze-li se zřetelem ke všem okolnostem důvodně předpokládat, že hodnota plnění, které při oddlužení obdrží nezajištění věřitelé, bude stejná nebo vyšší než 50 % jejich pohledávek, anebo stejná nebo vyšší než hodnota plnění, na které se tito věřitelé s dlužníkem dohodli.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w:t>
      </w:r>
    </w:p>
    <w:p>
      <w:pPr>
        <w:pStyle w:val="Heading4"/>
      </w:pPr>
      <w:r>
        <w:rPr>
          <w:b/>
          <w:bCs/>
        </w:rPr>
        <w:t xml:space="preserve">§ 399</w:t>
      </w:r>
    </w:p>
    <w:p>
      <w:pPr>
        <w:ind w:left="0" w:right="0"/>
      </w:pPr>
      <w:r>
        <w:rPr>
          <w:b/>
          <w:bCs/>
        </w:rPr>
        <w:t xml:space="preserve">(1)</w:t>
      </w:r>
      <w:r>
        <w:rPr/>
        <w:t xml:space="preserve"> Není-li dále stanoveno jinak, platí o hlasovacím právu věřitelů při oddlužení obdobně § 49 až 53. K projednání způsobu oddlužení a hlasování o jeho přijetí dochází na schůzi věřitelů za tím účelem svolané nebo za podmínek stanovených tímto zákonem mimo schůzi věřitelů;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se na své nebezpečí a na své náklady (§ 39 odst. 2) může dát zastoupit na schůzi věřitelů podle odstavce 1 jinou osobou; to neplatí, jestliže insolvenční soud požaduje, aby se insolvenční správce takové schůze zúčastnil osobně.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všichni k tomu oprávnění věřitelé hlasovali o přijetí způsobu oddlužení mimo schůzi věřitelů; obdobně to platí pro hlasování věřitelů o tom, zda doporučují vyhovět žádosti dlužníka o stanovení jiné výše měsíčních splátek při oddlužení plněním splátkového kalendáře.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8"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w:t>
      </w:r>
    </w:p>
    <w:p>
      <w:pPr>
        <w:ind w:left="0" w:right="0"/>
      </w:pPr>
      <w:r>
        <w:rPr>
          <w:b/>
          <w:bCs/>
        </w:rPr>
        <w:t xml:space="preserve">(5)</w:t>
      </w:r>
      <w:r>
        <w:rPr/>
        <w:t xml:space="preserve"> Jestliže ani jeden ze způsobů oddlužení nezíská prostou většinu hlasů nezajištěných věřitelů podle odstavce 3, rozhodne o způsobu oddlužení insolvenční soud v rozhodnutí o schválení oddlužení (§ 406).</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před rozhodnutím schůze věřitelů o způsobu oddlužení a v případě uvedeném v § 399 odst. 3 do 3 dnů po zveřejnění výsledků hlasování v insolvenčním rejstříku.</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a v případě uvedeném v § 399 odst. 3 do 10 dnů po zveřejnění výsledků hlasování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Včas podané námitky podle odstavce 2, uplatněné oprávněnými osobami, projedná insolvenční soud při jednání, ke kterému předvolá dlužníka, insolvenčního správce, věřitelský výbor a věřitele, kteří podali námitky.</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w:t>
      </w:r>
      <w:r>
        <w:rPr/>
        <w:t xml:space="preserve">§ 403</w:t>
      </w:r>
      <w:r>
        <w:rPr/>
        <w:t xml:space="preserve"> odst. 2 a v případě, že věřitelé takové námitky neuplatnili, neprodleně po uplynutí lhůty k jejich podání.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w:t>
      </w:r>
    </w:p>
    <w:p>
      <w:pPr>
        <w:ind w:left="0" w:right="0"/>
      </w:pPr>
      <w:r>
        <w:rPr>
          <w:b/>
          <w:bCs/>
        </w:rPr>
        <w:t xml:space="preserve">(3)</w:t>
      </w:r>
      <w:r>
        <w:rPr/>
        <w:t xml:space="preserve"> Rozhodnutí, jímž oddlužení neschválí, doručí insolvenční soud zvlášť dlužníku, insolvenčnímu správci a věřitelskému výboru. Odvolání proti tomuto rozhodnutí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uvede informaci o tom, kdo je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majetek, který podle stavu ke dni vydání rozhodnutí náleží do majetkové podstaty, včetně majetku, který se stane součástí majetkové podstaty podle § 412 odst.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0" w:right="0"/>
      </w:pPr>
      <w:r>
        <w:rPr>
          <w:b/>
          <w:bCs/>
        </w:rPr>
        <w:t xml:space="preserve">(3)</w:t>
      </w:r>
      <w:r>
        <w:rPr/>
        <w:t xml:space="preserve"> V rozhodnutí, jímž schvaluje oddlužení plněním splátkového kalendáře,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po dobu 5 let platil nezajištěným věřitelům prostřednictvím insolvenčního správce vždy k určenému dni měsíce částku stanovenou podle § 398 z příjmů, které získá po schválení oddlužení, a to podle poměru jejich pohledávek určeného v rozhodnutí.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30 % jejich pohledávky,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0" w:right="0"/>
      </w:pPr>
      <w:r>
        <w:rPr>
          <w:b/>
          <w:bCs/>
        </w:rPr>
        <w:t xml:space="preserve">(4)</w:t>
      </w:r>
      <w:r>
        <w:rPr/>
        <w:t xml:space="preserve"> Rozhodnutí o schválení oddlužení doručí insolvenční soud zvlášť dlužníku, insolvenčnímu správci a věřitelskému výboru. Odvolání proti tomuto rozhodnutí může podat pouze věřitel, který hlasoval proti přijetí schváleného způsobu oddlužení, nebo věřitel, jehož námitkám uplatněným podle § 403 odst. 2 insolvenční soud nevyhověl. Proti rozhodnutí o schválení oddlužení plněním splátkového kalendáře může podat odvolání také dlužník, jehož žádosti o stanovení jiné výše měsíčních splátek insolvenční soud nevyhověl,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jen na žádost zajištěného věřitele, jestliže zpeněžením ostatního majetku dojde k plnému uspokojení pohledávek nezajištěných věřitelů nebo jestliže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má dispoziční oprávnění k příjmům, které získá po schválení oddlužení, dlužník. S takto nabytými příjmy je dlužník povinen naložit způsobem uvedeným v rozhodnutí o schválení oddlužení plněním splátkového kalendáře.</w:t>
      </w:r>
    </w:p>
    <w:p>
      <w:pPr>
        <w:ind w:left="0" w:right="0"/>
      </w:pPr>
      <w:r>
        <w:rPr>
          <w:b/>
          <w:bCs/>
        </w:rPr>
        <w:t xml:space="preserve">(2)</w:t>
      </w:r>
      <w:r>
        <w:rPr/>
        <w:t xml:space="preserve"> Dispoziční oprávnění k majetku, náležejícímu do majetkové podstaty v době schválení oddlužení, včetně toho majetku, s nímž dlužník nemohl dosud nakládat v důsledku účinků nařízení nebo zahájení výkonu rozhodnutí nebo exekuce, má od právní moci rozhodnutí o schválení oddlužení plněním splátkového kalendáře dlužník; to neplatí, jde-li o majetek, který slouží k zajištění.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zpeněží insolvenční správce po schválení oddlužení plněním splátkového kalendáře,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 Insolvenční správce se na své nebezpečí a na své náklady (§ 39 odst. 2) může dát zastoupit při přezkumném jednání jinou osobou; to neplatí, jestliže insolvenční soud požaduje, aby se insolvenční správce přezkumného jednání zúčastnil osobně.</w:t>
      </w:r>
    </w:p>
    <w:p>
      <w:pPr>
        <w:ind w:left="0" w:right="0"/>
      </w:pPr>
      <w:r>
        <w:rPr>
          <w:b/>
          <w:bCs/>
        </w:rPr>
        <w:t xml:space="preserve">(2)</w:t>
      </w:r>
      <w:r>
        <w:rPr/>
        <w:t xml:space="preserve"> Popření pohledávky nezajištěného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p>
    <w:p>
      <w:pPr>
        <w:ind w:left="0" w:right="0"/>
      </w:pPr>
      <w:r>
        <w:rPr>
          <w:b/>
          <w:bCs/>
        </w:rPr>
        <w:t xml:space="preserve">(1)</w:t>
      </w:r>
      <w:r>
        <w:rPr/>
        <w:t xml:space="preserve"> Po dobu trvání účinků schválení oddlužení plněním splátkového kalendáře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použít k mimořádným splátkám nad rámec splátkového kalendáře,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insolvenčnímu správci a věřitelskému výboru přehled svých příjmů za uplynulých 6 kalendářních měsíců, neurčí-li insolvenční soud v usnesení o schválení oddlužení jinou dobu předkládání,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0" w:right="0"/>
      </w:pPr>
      <w:r>
        <w:rPr>
          <w:b/>
          <w:bCs/>
        </w:rPr>
        <w:t xml:space="preserve">(2)</w:t>
      </w:r>
      <w:r>
        <w:rPr/>
        <w:t xml:space="preserve"> Po dobu trvání účinků schválení oddlužení plněním splátkového kalendáře vykonává insolvenční správce dohled nad činností dlužníka. O výsledcích své činnosti pravidelně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413</w:t>
      </w:r>
    </w:p>
    <w:p>
      <w:pPr>
        <w:ind w:left="0" w:right="0"/>
      </w:pPr>
      <w:r>
        <w:rPr/>
        <w:t xml:space="preserve">Splnění oddlužení vezme insolvenční soud na vědomí rozhodnutím, proti němuž není odvolání přípustné; právní mocí tohoto rozhodnutí insolvenční řízení končí. Současně insolvenční soud rozhodne o odměně insolvenčního správce a jeho nákladech a zprostí insolvenčního správce jeho funkce.</w:t>
      </w:r>
    </w:p>
    <w:p>
      <w:pPr>
        <w:pStyle w:val="Heading4"/>
      </w:pPr>
      <w:r>
        <w:rPr>
          <w:b/>
          <w:bCs/>
        </w:rPr>
        <w:t xml:space="preserve">§ 414</w:t>
      </w:r>
    </w:p>
    <w:p>
      <w:pPr>
        <w:ind w:left="0" w:right="0"/>
      </w:pPr>
      <w:r>
        <w:rPr>
          <w:b/>
          <w:bCs/>
        </w:rPr>
        <w:t xml:space="preserve">(1)</w:t>
      </w:r>
      <w:r>
        <w:rPr/>
        <w:t xml:space="preserve"> Jestliže dlužník splní řádně a včas všechny povinnosti podle schváleného způsobu oddlužení, vydá insolvenční soud usnesení, jímž dlužníka osvobodí od placení pohledávek, zahrnutých do oddlužení, v rozsahu, v němž dosud nebyly uspokojeny. Učiní tak jen na návrh dlužníka.</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který po schválení oddlužení nepožádal o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ind w:left="0" w:right="0"/>
      </w:pPr>
      <w:r>
        <w:rPr/>
        <w:t xml:space="preserve">Je-li hodnota plnění, které při splnění oddlužení obdrželi nezajištění věřitelé, nižší než 30 % jejich pohledávek, nebo nedosahuje-li nejnižší hodnotu plnění, na které se tito věřitelé s dlužníkem dohodli, může insolvenční soud po slyšení dlužníka a insolvenčního správce přesto přiznat dlužníku osvobození od placení pohledávek zahrnutých do oddlužení v rozsahu, ve kterém dosud nebyly uspokojeny. Učiní tak jen na návrh dlužníka a za předpokladu, že dlužník prokáže, že požadované hodnoty plnění nebylo dosaženo v důsledku okolností, které nezavinil, a zároveň, že částka, kterou tito věřitelé na uspokojení svých pohledávek dosud obdrželi, není nižší než částka, které by se jim dostalo, kdyby dlužníkův úpadek byl řešen konkursem. Ustanovení </w:t>
      </w:r>
      <w:r>
        <w:rPr/>
        <w:t xml:space="preserve">§ 414</w:t>
      </w:r>
      <w:r>
        <w:rPr/>
        <w:t xml:space="preserve"> odst. 3 platí obdobně.</w:t>
      </w:r>
    </w:p>
    <w:p>
      <w:pPr>
        <w:pStyle w:val="Heading4"/>
      </w:pPr>
      <w:r>
        <w:rPr>
          <w:b/>
          <w:bCs/>
        </w:rPr>
        <w:t xml:space="preserve">§ 416</w:t>
      </w:r>
    </w:p>
    <w:p>
      <w:pPr>
        <w:ind w:left="0" w:right="0"/>
      </w:pPr>
      <w:r>
        <w:rPr>
          <w:b/>
          <w:bCs/>
        </w:rPr>
        <w:t xml:space="preserve">(1)</w:t>
      </w:r>
      <w:r>
        <w:rPr/>
        <w:t xml:space="preserve"> Osvobození podle </w:t>
      </w:r>
      <w:r>
        <w:rPr/>
        <w:t xml:space="preserve">§ 414</w:t>
      </w:r>
      <w:r>
        <w:rPr/>
        <w:t xml:space="preserve"> a 415 se nedotýká peněžitého trestu nebo jiné majetkové sankce, která byla dlužníku uložena v trestním řízení pro úmyslný trestný čin, a dále pohledávek na náhradu škody způsobené úmyslným porušením právní povinnosti.</w:t>
      </w:r>
    </w:p>
    <w:p>
      <w:pPr>
        <w:ind w:left="0" w:right="0"/>
      </w:pPr>
      <w:r>
        <w:rPr>
          <w:b/>
          <w:bCs/>
        </w:rPr>
        <w:t xml:space="preserve">(2)</w:t>
      </w:r>
      <w:r>
        <w:rPr/>
        <w:t xml:space="preserve"> Rozhodnutí insolvenčního soudu o návrhu dlužníka na přiznání osvobození podle </w:t>
      </w:r>
      <w:r>
        <w:rPr/>
        <w:t xml:space="preserve">§ 414</w:t>
      </w:r>
      <w:r>
        <w:rPr/>
        <w:t xml:space="preserve"> a 415 se doručuje zvlášť dlužníku, insolvenčnímu správci a věřitelskému výboru. Proti rozhodnutí, jímž insolvenční soud takový návrh zamítl, se může odvolat pouze dlužník. Proti rozhodnutí, jímž insolvenční soud přizná dlužníku osvobození podle </w:t>
      </w:r>
      <w:r>
        <w:rPr/>
        <w:t xml:space="preserve">§ 414</w:t>
      </w:r>
      <w:r>
        <w:rPr/>
        <w:t xml:space="preserve"> a 415, se může odvolat pouze věřitel, jehož pohledávka vůči dlužníku nebyla v insolvenčním řízení zcela uspokojena. Odvoláním však lze namítat pouze to, že nebyly splněny předpoklady pro přiznání osvobození dlužníku.</w:t>
      </w:r>
    </w:p>
    <w:p>
      <w:pPr>
        <w:pStyle w:val="Heading4"/>
      </w:pPr>
      <w:r>
        <w:rPr>
          <w:b/>
          <w:bCs/>
        </w:rPr>
        <w:t xml:space="preserve">§ 417</w:t>
      </w:r>
    </w:p>
    <w:p>
      <w:pPr>
        <w:ind w:left="0" w:right="0"/>
      </w:pPr>
      <w:r>
        <w:rPr>
          <w:b/>
          <w:bCs/>
        </w:rPr>
        <w:t xml:space="preserve">(1)</w:t>
      </w:r>
      <w:r>
        <w:rPr/>
        <w:t xml:space="preserve"> Osvobození podle </w:t>
      </w:r>
      <w:r>
        <w:rPr/>
        <w:t xml:space="preserve">§ 414</w:t>
      </w:r>
      <w:r>
        <w:rPr/>
        <w:t xml:space="preserve"> a 415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Rozhodnutí vydané podle odstavců 1 až 3 se doručuje zvlášť dlužníkovi a věřiteli, jehož se zánik osvobození týká; jen tyto osoby mohou proti rozhodnutí podat odvolání.</w:t>
      </w:r>
    </w:p>
    <w:p>
      <w:pPr>
        <w:pStyle w:val="Heading4"/>
      </w:pPr>
      <w:r>
        <w:rPr>
          <w:b/>
          <w:bCs/>
        </w:rPr>
        <w:t xml:space="preserve">§ 418</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ukáže, že podstatnou část splátkového kalendáře nebude možné splnit,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důsledku zaviněného jednání vznikl dlužníku po schválení oddlužení peněžitý závazek po dobu delší 30 dnů po lhůtě splatnosti,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Rozhodnutí podle odstavce 1 a 3 může insolvenční soud vydat, jen dokud nevezme na vědomí splnění oddlužení. Učiní tak po jednání, ke kterému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(5)</w:t>
      </w:r>
      <w:r>
        <w:rPr/>
        <w:t xml:space="preserve"> Proti rozhodnutí podle odstavce 1 a 3 mohou podat odvolání pouze osoby uvedené v odstavci 4.</w:t>
      </w:r>
    </w:p>
    <w:p>
      <w:pPr>
        <w:pStyle w:val="Heading1"/>
      </w:pPr>
      <w:r>
        <w:rPr>
          <w:b/>
          <w:bCs/>
          <w:caps/>
        </w:rPr>
        <w:t xml:space="preserve">Část třetí</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rodné číslo, a nemá-li rodné číslo, datum narození; je-li insolvenční správce právnickou osobou, zapisuje se do seznamu dlužníků jeho obchodní firma nebo název, sídlo a identifikační číslo.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Evropských společenství</w:t>
      </w:r>
      <w:r>
        <w:rPr>
          <w:vertAlign w:val="superscript"/>
        </w:rPr>
        <w:t xml:space="preserve">59</w:t>
      </w:r>
      <w:r>
        <w:rPr/>
        <w:t xml:space="preserve">)</w:t>
      </w:r>
      <w:r>
        <w:rPr/>
        <w:t xml:space="preserve"> a ustanoveními právního řádu toho členského státu Evropské unie, na něž přímo použitelný předpis práva Evropských společenství odkazuje.</w:t>
      </w:r>
    </w:p>
    <w:p>
      <w:pPr>
        <w:ind w:left="0" w:right="0"/>
      </w:pPr>
      <w:r>
        <w:rPr>
          <w:b/>
          <w:bCs/>
        </w:rPr>
        <w:t xml:space="preserve">(2)</w:t>
      </w:r>
      <w:r>
        <w:rPr/>
        <w:t xml:space="preserve"> Evropským mezinárodním prvkem se rozumí v souladu s přímo použitelným právním předpisem Evropských společenství</w:t>
      </w:r>
      <w:r>
        <w:rPr>
          <w:vertAlign w:val="superscript"/>
        </w:rPr>
        <w:t xml:space="preserve">59</w:t>
      </w:r>
      <w:r>
        <w:rPr/>
        <w:t xml:space="preserve">) skutečnost, že hlavní zájmy dlužníka jsou soustředěny v některém z členských států Evropské unie s výjimkou Dánska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Zastavení insolvenčního řízení</w:t>
      </w:r>
    </w:p>
    <w:p>
      <w:pPr>
        <w:ind w:left="0" w:right="0"/>
      </w:pPr>
      <w:r>
        <w:rPr/>
        <w:t xml:space="preserve">Vyjde-li v průběhu insolvenčního řízení najevo, že podle přímo použitelného právního předpisu Evropských společenství</w:t>
      </w:r>
      <w:r>
        <w:rPr>
          <w:vertAlign w:val="superscript"/>
        </w:rPr>
        <w:t xml:space="preserve">59</w:t>
      </w:r>
      <w:r>
        <w:rPr/>
        <w:t xml:space="preserve">) byly ke dni zahájení insolvenčního řízení hlavní zájmy dlužníka soustředěny v některém z členských států Evropské unie s výjimkou Dánska a že dlužník k tomuto dni neměl ani provozovnu na území České republiky, insolvenční soud insolvenční řízení zastaví.</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t xml:space="preserve">Rozhodnutí o zahájení insolvenčního řízení a rozhodnutí o ustanovení insolvenčního správce vydané v členském státě Evropské unie s výjimkou Dánska podle přímo použitelného předpisu práva Evropských společenství</w:t>
      </w:r>
      <w:r>
        <w:rPr>
          <w:vertAlign w:val="superscript"/>
        </w:rPr>
        <w:t xml:space="preserve">59</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s výjimkou Dánska,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a rozhodnutí o úpadku nebo jeho zkrácené znění.</w:t>
      </w:r>
    </w:p>
    <w:p>
      <w:pPr>
        <w:ind w:left="0" w:right="0"/>
      </w:pPr>
      <w:r>
        <w:rPr>
          <w:b/>
          <w:bCs/>
        </w:rPr>
        <w:t xml:space="preserve">(3)</w:t>
      </w:r>
      <w:r>
        <w:rPr/>
        <w:t xml:space="preserve"> Známým věřitelům podle odstavce 1 insolvenční soud zvlášť doručí i výzvu k podávání přihlášek pohledávek.</w:t>
      </w:r>
    </w:p>
    <w:p>
      <w:pPr>
        <w:pStyle w:val="Heading2"/>
      </w:pPr>
      <w:r>
        <w:rPr>
          <w:b/>
          <w:bCs/>
        </w:rPr>
        <w:t xml:space="preserve">Hlava III</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záznamu podle § 85, výzvy k podávání přihlášek pohledávek, soupisu, vyrozumění o soupisu, vyrozumění o uplatnění pohledávky za majetkovou podstatou nebo pohledávky jí postavené na roveň, seznamu přihlášených pohledávek, formuláře přihlášek pohledávek, manipulace s přihláškami pohledávek, pravidla pro jejich úschovu a nahlížení do nich, náležitosti hlasovacích lístků, náležitosti reorganizačního plánu, náležitosti zprávy o reorganizačním plánu, formuláře návrhu na povolení oddlužení a náležitosti formuláře popření pohledávky přihlášeným věřitelem,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 101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 422 odst. 1 a 2 se do 31. prosince 2008 nepřipojují informace o charakteru osobního údaje, který není zveřejňován.</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122/1993 Sb.</w:t>
        </w:r>
      </w:hyperlink>
      <w:r>
        <w:rPr/>
        <w:t xml:space="preserve">, kterým se mění a doplňuje zákon č. </w:t>
      </w:r>
      <w:hyperlink r:id="rId14"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12/1998 Sb.</w:t>
        </w:r>
      </w:hyperlink>
      <w:r>
        <w:rPr/>
        <w:t xml:space="preserve">, kterým se mění a doplňuje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214/2000 Sb.</w:t>
        </w:r>
      </w:hyperlink>
      <w:r>
        <w:rPr/>
        <w:t xml:space="preserve">, kterým se mění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368/2000 Sb.</w:t>
        </w:r>
      </w:hyperlink>
      <w:r>
        <w:rPr/>
        <w:t xml:space="preserve">, kterým se mění zákon č. </w:t>
      </w:r>
      <w:hyperlink r:id="rId19" w:history="1">
        <w:r>
          <w:rPr>
            <w:color w:val="darkblue"/>
            <w:u w:val="single"/>
          </w:rPr>
          <w:t xml:space="preserve">530/1990 Sb.</w:t>
        </w:r>
      </w:hyperlink>
      <w:r>
        <w:rPr/>
        <w:t xml:space="preserve">, o dluhopisech, ve znění pozdějších předpisů, a zákon č. </w:t>
      </w:r>
      <w:hyperlink r:id="rId14"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20"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24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13"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21" w:history="1">
        <w:r>
          <w:rPr>
            <w:color w:val="darkblue"/>
            <w:u w:val="single"/>
          </w:rPr>
          <w:t xml:space="preserve">1/1993 Sb.</w:t>
        </w:r>
      </w:hyperlink>
      <w:r>
        <w:rPr>
          <w:sz w:val="19.200000000000003"/>
          <w:szCs w:val="19.200000000000003"/>
        </w:rPr>
        <w:t xml:space="preserve">, Ústava České republiky, ve znění ústavního zákona č. </w:t>
      </w:r>
      <w:hyperlink r:id="rId22"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23"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24"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25"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25"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26"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27"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28"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29"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30"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31"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32"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32"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33"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34"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35"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36" w:history="1">
        <w:r>
          <w:rPr>
            <w:color w:val="darkblue"/>
            <w:u w:val="single"/>
          </w:rPr>
          <w:t xml:space="preserve">256/2004 Sb.</w:t>
        </w:r>
      </w:hyperlink>
      <w:r>
        <w:rPr>
          <w:sz w:val="19.200000000000003"/>
          <w:szCs w:val="19.200000000000003"/>
        </w:rPr>
        <w:t xml:space="preserve">, o podnikání na kapitálovém trhu, ve znění zákona č. </w:t>
      </w:r>
      <w:hyperlink r:id="rId37" w:history="1">
        <w:r>
          <w:rPr>
            <w:color w:val="darkblue"/>
            <w:u w:val="single"/>
          </w:rPr>
          <w:t xml:space="preserve">230/2008 Sb.</w:t>
        </w:r>
      </w:hyperlink>
      <w:r>
        <w:rPr>
          <w:sz w:val="19.200000000000003"/>
          <w:szCs w:val="19.200000000000003"/>
        </w:rPr>
        <w:t xml:space="preserve"> a zákona č. </w:t>
      </w:r>
      <w:hyperlink r:id="rId38"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39"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40"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41"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42" w:history="1">
        <w:r>
          <w:rPr>
            <w:color w:val="darkblue"/>
            <w:u w:val="single"/>
          </w:rPr>
          <w:t xml:space="preserve">§ 6</w:t>
        </w:r>
      </w:hyperlink>
      <w:r>
        <w:rPr>
          <w:sz w:val="19.200000000000003"/>
          <w:szCs w:val="19.200000000000003"/>
        </w:rPr>
        <w:t xml:space="preserve"> odst. 1 zákona č. </w:t>
      </w:r>
      <w:hyperlink r:id="rId43"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44" w:history="1">
        <w:r>
          <w:rPr>
            <w:color w:val="darkblue"/>
            <w:u w:val="single"/>
          </w:rPr>
          <w:t xml:space="preserve">§ 29</w:t>
        </w:r>
      </w:hyperlink>
      <w:r>
        <w:rPr>
          <w:sz w:val="19.200000000000003"/>
          <w:szCs w:val="19.200000000000003"/>
        </w:rPr>
        <w:t xml:space="preserve"> vyhlášky č. </w:t>
      </w:r>
      <w:hyperlink r:id="rId45"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46"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47"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8"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48"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49" w:history="1">
        <w:r>
          <w:rPr>
            <w:color w:val="darkblue"/>
            <w:u w:val="single"/>
          </w:rPr>
          <w:t xml:space="preserve">§ 321</w:t>
        </w:r>
      </w:hyperlink>
      <w:r>
        <w:rPr>
          <w:sz w:val="19.200000000000003"/>
          <w:szCs w:val="19.200000000000003"/>
        </w:rPr>
        <w:t xml:space="preserve">, </w:t>
      </w:r>
      <w:hyperlink r:id="rId50"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51"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52" w:history="1">
        <w:r>
          <w:rPr>
            <w:color w:val="darkblue"/>
            <w:u w:val="single"/>
          </w:rPr>
          <w:t xml:space="preserve">§ 31</w:t>
        </w:r>
      </w:hyperlink>
      <w:r>
        <w:rPr>
          <w:sz w:val="19.200000000000003"/>
          <w:szCs w:val="19.200000000000003"/>
        </w:rPr>
        <w:t xml:space="preserve"> odst. 6 a </w:t>
      </w:r>
      <w:hyperlink r:id="rId53" w:history="1">
        <w:r>
          <w:rPr>
            <w:color w:val="darkblue"/>
            <w:u w:val="single"/>
          </w:rPr>
          <w:t xml:space="preserve">§ 37a</w:t>
        </w:r>
      </w:hyperlink>
      <w:r>
        <w:rPr>
          <w:sz w:val="19.200000000000003"/>
          <w:szCs w:val="19.200000000000003"/>
        </w:rPr>
        <w:t xml:space="preserve"> zákona č. </w:t>
      </w:r>
      <w:hyperlink r:id="rId54"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55"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56"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57" w:history="1">
        <w:r>
          <w:rPr>
            <w:color w:val="darkblue"/>
            <w:u w:val="single"/>
          </w:rPr>
          <w:t xml:space="preserve">§ 2</w:t>
        </w:r>
      </w:hyperlink>
      <w:r>
        <w:rPr>
          <w:sz w:val="19.200000000000003"/>
          <w:szCs w:val="19.200000000000003"/>
        </w:rPr>
        <w:t xml:space="preserve"> zákona č. </w:t>
      </w:r>
      <w:hyperlink r:id="rId58"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59"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60" w:history="1">
        <w:r>
          <w:rPr>
            <w:color w:val="darkblue"/>
            <w:u w:val="single"/>
          </w:rPr>
          <w:t xml:space="preserve">§ 7b</w:t>
        </w:r>
      </w:hyperlink>
      <w:r>
        <w:rPr>
          <w:sz w:val="19.200000000000003"/>
          <w:szCs w:val="19.200000000000003"/>
        </w:rPr>
        <w:t xml:space="preserve"> odst. 1 písm. e) a f) zákona č. </w:t>
      </w:r>
      <w:hyperlink r:id="rId61"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62" w:history="1">
        <w:r>
          <w:rPr>
            <w:color w:val="darkblue"/>
            <w:u w:val="single"/>
          </w:rPr>
          <w:t xml:space="preserve">§ 8</w:t>
        </w:r>
      </w:hyperlink>
      <w:r>
        <w:rPr>
          <w:sz w:val="19.200000000000003"/>
          <w:szCs w:val="19.200000000000003"/>
        </w:rPr>
        <w:t xml:space="preserve"> zákona č. </w:t>
      </w:r>
      <w:hyperlink r:id="rId63"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64"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65"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66"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67"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69" w:history="1">
        <w:r>
          <w:rPr>
            <w:color w:val="darkblue"/>
            <w:u w:val="single"/>
          </w:rPr>
          <w:t xml:space="preserve">§ 8</w:t>
        </w:r>
      </w:hyperlink>
      <w:r>
        <w:rPr>
          <w:sz w:val="19.200000000000003"/>
          <w:szCs w:val="19.200000000000003"/>
        </w:rPr>
        <w:t xml:space="preserve"> zákona č. </w:t>
      </w:r>
      <w:hyperlink r:id="rId70" w:history="1">
        <w:r>
          <w:rPr>
            <w:color w:val="darkblue"/>
            <w:u w:val="single"/>
          </w:rPr>
          <w:t xml:space="preserve">114/1995 Sb.</w:t>
        </w:r>
      </w:hyperlink>
      <w:r>
        <w:rPr>
          <w:sz w:val="19.200000000000003"/>
          <w:szCs w:val="19.200000000000003"/>
        </w:rPr>
        <w:t xml:space="preserve">, o vnitrozemské plavbě.</w:t>
      </w:r>
    </w:p>
    <w:p>
      <w:pPr>
        <w:ind w:left="560" w:right="0"/>
      </w:pPr>
      <w:hyperlink r:id="rId71" w:history="1">
        <w:r>
          <w:rPr>
            <w:color w:val="darkblue"/>
            <w:u w:val="single"/>
          </w:rPr>
          <w:t xml:space="preserve">§ 28</w:t>
        </w:r>
      </w:hyperlink>
      <w:r>
        <w:rPr>
          <w:sz w:val="19.200000000000003"/>
          <w:szCs w:val="19.200000000000003"/>
        </w:rPr>
        <w:t xml:space="preserve"> vyhlášky č. </w:t>
      </w:r>
      <w:hyperlink r:id="rId72"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12"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73"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74"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75"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76" w:history="1">
        <w:r>
          <w:rPr>
            <w:color w:val="darkblue"/>
            <w:u w:val="single"/>
          </w:rPr>
          <w:t xml:space="preserve">§ 24</w:t>
        </w:r>
      </w:hyperlink>
      <w:r>
        <w:rPr>
          <w:sz w:val="19.200000000000003"/>
          <w:szCs w:val="19.200000000000003"/>
        </w:rPr>
        <w:t xml:space="preserve"> odst. 2 písm. a) až c) zákona č. </w:t>
      </w:r>
      <w:hyperlink r:id="rId77"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78" w:history="1">
        <w:r>
          <w:rPr>
            <w:color w:val="darkblue"/>
            <w:u w:val="single"/>
          </w:rPr>
          <w:t xml:space="preserve">§ 29</w:t>
        </w:r>
      </w:hyperlink>
      <w:r>
        <w:rPr>
          <w:sz w:val="19.200000000000003"/>
          <w:szCs w:val="19.200000000000003"/>
        </w:rPr>
        <w:t xml:space="preserve"> odst. 4 písm. b) a odst. 5 zákona č. </w:t>
      </w:r>
      <w:hyperlink r:id="rId77"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36" w:history="1">
        <w:r>
          <w:rPr>
            <w:color w:val="darkblue"/>
            <w:u w:val="single"/>
          </w:rPr>
          <w:t xml:space="preserve">256/2004 Sb.</w:t>
        </w:r>
      </w:hyperlink>
      <w:r>
        <w:rPr>
          <w:sz w:val="19.200000000000003"/>
          <w:szCs w:val="19.200000000000003"/>
        </w:rPr>
        <w:t xml:space="preserve">, o podnikání na kapitálovém trhu, ve znění zákona č. </w:t>
      </w:r>
      <w:hyperlink r:id="rId79"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80" w:history="1">
        <w:r>
          <w:rPr>
            <w:color w:val="darkblue"/>
            <w:u w:val="single"/>
          </w:rPr>
          <w:t xml:space="preserve">2001/24/ES</w:t>
        </w:r>
      </w:hyperlink>
      <w:r>
        <w:rPr>
          <w:sz w:val="19.200000000000003"/>
          <w:szCs w:val="19.200000000000003"/>
        </w:rPr>
        <w:t xml:space="preserve"> ze dne 4. dubna 2001 o reorganizaci a likvidaci úvěrových institucí.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81" w:history="1">
        <w:r>
          <w:rPr>
            <w:color w:val="darkblue"/>
            <w:u w:val="single"/>
          </w:rPr>
          <w:t xml:space="preserve">§ 5a</w:t>
        </w:r>
      </w:hyperlink>
      <w:r>
        <w:rPr>
          <w:sz w:val="19.200000000000003"/>
          <w:szCs w:val="19.200000000000003"/>
        </w:rPr>
        <w:t xml:space="preserve"> až 7a zákona č. </w:t>
      </w:r>
      <w:hyperlink r:id="rId82"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83"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84"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85" w:history="1">
        <w:r>
          <w:rPr>
            <w:color w:val="darkblue"/>
            <w:u w:val="single"/>
          </w:rPr>
          <w:t xml:space="preserve">§ 5c</w:t>
        </w:r>
      </w:hyperlink>
      <w:r>
        <w:rPr>
          <w:sz w:val="19.200000000000003"/>
          <w:szCs w:val="19.200000000000003"/>
        </w:rPr>
        <w:t xml:space="preserve"> zákona č. </w:t>
      </w:r>
      <w:hyperlink r:id="rId86"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87"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88" w:history="1">
        <w:r>
          <w:rPr>
            <w:color w:val="darkblue"/>
            <w:u w:val="single"/>
          </w:rPr>
          <w:t xml:space="preserve">§ 5a</w:t>
        </w:r>
      </w:hyperlink>
      <w:r>
        <w:rPr>
          <w:sz w:val="19.200000000000003"/>
          <w:szCs w:val="19.200000000000003"/>
        </w:rPr>
        <w:t xml:space="preserve"> odst. 1 zákona č. </w:t>
      </w:r>
      <w:hyperlink r:id="rId86" w:history="1">
        <w:r>
          <w:rPr>
            <w:color w:val="darkblue"/>
            <w:u w:val="single"/>
          </w:rPr>
          <w:t xml:space="preserve">363/1999 Sb.</w:t>
        </w:r>
      </w:hyperlink>
      <w:r>
        <w:rPr>
          <w:sz w:val="19.200000000000003"/>
          <w:szCs w:val="19.200000000000003"/>
        </w:rPr>
        <w:t xml:space="preserve">, ve znění zákona č. </w:t>
      </w:r>
      <w:hyperlink r:id="rId87"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86"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8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Rady </w:t>
      </w:r>
      <w:hyperlink r:id="rId90" w:history="1">
        <w:r>
          <w:rPr>
            <w:color w:val="darkblue"/>
            <w:u w:val="single"/>
          </w:rPr>
          <w:t xml:space="preserve">(ES) č. 1346/2000</w:t>
        </w:r>
      </w:hyperlink>
      <w:r>
        <w:rPr>
          <w:sz w:val="19.200000000000003"/>
          <w:szCs w:val="19.200000000000003"/>
        </w:rPr>
        <w:t xml:space="preserve"> ze dne 29. května 2000 o úpadkovém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27"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89"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91"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36"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pStyle w:val="Heading1"/>
      </w:pPr>
      <w:r>
        <w:rPr>
          <w:b/>
          <w:bCs/>
        </w:rPr>
        <w:t xml:space="preserve">ČÁST PRVNÍ (Čl. II) a ČÁST ŠESTÁ (Čl. IX) zákona č. 217/2009 Sb.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69/2011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9"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9"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9"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334/2012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396/2012 Sb.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9"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294/2013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9"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sectPr>
      <w:headerReference w:type="default" r:id="rId92"/>
      <w:footerReference w:type="default" r:id="rId9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375/2015 Sb. z </w:t>
          </w:r>
          <w:r>
            <w:rPr>
              <w:rStyle w:val="bold"/>
            </w:rPr>
            <w:t xml:space="preserve">1. 1. 2016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07s296#C01_H04_P043" TargetMode="External"/><Relationship Id="rId9" Type="http://schemas.openxmlformats.org/officeDocument/2006/relationships/hyperlink" Target="https://esipa.cz/sbirka/sbsrv.dll/sb?DR=SB&amp;CP=2006s182" TargetMode="External"/><Relationship Id="rId10" Type="http://schemas.openxmlformats.org/officeDocument/2006/relationships/hyperlink" Target="https://esipa.cz/sbirka/sbsrv.dll/sb?DR=AZ&amp;CP=1963s099-2007s296#C04_H01_P219A" TargetMode="External"/><Relationship Id="rId11" Type="http://schemas.openxmlformats.org/officeDocument/2006/relationships/hyperlink" Target="https://esipa.cz/sbirka/sbsrv.dll/sb?DR=SB&amp;CP=2007s296" TargetMode="External"/><Relationship Id="rId12" Type="http://schemas.openxmlformats.org/officeDocument/2006/relationships/hyperlink" Target="https://esipa.cz/sbirka/sbsrv.dll/sb?DR=SB&amp;CP=2013s294" TargetMode="External"/><Relationship Id="rId13" Type="http://schemas.openxmlformats.org/officeDocument/2006/relationships/hyperlink" Target="https://esipa.cz/sbirka/sbsrv.dll/sb?DR=SB&amp;CP=2011s139" TargetMode="External"/><Relationship Id="rId14" Type="http://schemas.openxmlformats.org/officeDocument/2006/relationships/hyperlink" Target="https://esipa.cz/sbirka/sbsrv.dll/sb?DR=SB&amp;CP=1991s328" TargetMode="External"/><Relationship Id="rId15" Type="http://schemas.openxmlformats.org/officeDocument/2006/relationships/hyperlink" Target="https://esipa.cz/sbirka/sbsrv.dll/sb?DR=SB&amp;CP=1993s122" TargetMode="External"/><Relationship Id="rId16" Type="http://schemas.openxmlformats.org/officeDocument/2006/relationships/hyperlink" Target="https://esipa.cz/sbirka/sbsrv.dll/sb?DR=SB&amp;CP=1998s012" TargetMode="External"/><Relationship Id="rId17" Type="http://schemas.openxmlformats.org/officeDocument/2006/relationships/hyperlink" Target="https://esipa.cz/sbirka/sbsrv.dll/sb?DR=SB&amp;CP=2000s214" TargetMode="External"/><Relationship Id="rId18" Type="http://schemas.openxmlformats.org/officeDocument/2006/relationships/hyperlink" Target="https://esipa.cz/sbirka/sbsrv.dll/sb?DR=SB&amp;CP=2000s368" TargetMode="External"/><Relationship Id="rId19" Type="http://schemas.openxmlformats.org/officeDocument/2006/relationships/hyperlink" Target="https://esipa.cz/sbirka/sbsrv.dll/sb?DR=SB&amp;CP=1990s530" TargetMode="External"/><Relationship Id="rId20" Type="http://schemas.openxmlformats.org/officeDocument/2006/relationships/hyperlink" Target="https://esipa.cz/sbirka/sbsrv.dll/sb?DR=SB&amp;CP=1991s476" TargetMode="External"/><Relationship Id="rId21" Type="http://schemas.openxmlformats.org/officeDocument/2006/relationships/hyperlink" Target="https://esipa.cz/sbirka/sbsrv.dll/sb?DR=SB&amp;CP=1993s001" TargetMode="External"/><Relationship Id="rId22" Type="http://schemas.openxmlformats.org/officeDocument/2006/relationships/hyperlink" Target="https://esipa.cz/sbirka/sbsrv.dll/sb?DR=SB&amp;CP=1997s347" TargetMode="External"/><Relationship Id="rId23" Type="http://schemas.openxmlformats.org/officeDocument/2006/relationships/hyperlink" Target="https://esipa.cz/sbirka/sbsrv.dll/sb?DR=SB&amp;CP=2011s466" TargetMode="External"/><Relationship Id="rId24" Type="http://schemas.openxmlformats.org/officeDocument/2006/relationships/hyperlink" Target="https://esipa.cz/sbirka/sbsrv.dll/sb?DR=SB&amp;CP=1992s280" TargetMode="External"/><Relationship Id="rId25" Type="http://schemas.openxmlformats.org/officeDocument/2006/relationships/hyperlink" Target="https://esipa.cz/sbirka/sbsrv.dll/sb?DR=AZ&amp;CP=1963s099-2007s296#C03_H01_P092" TargetMode="External"/><Relationship Id="rId26" Type="http://schemas.openxmlformats.org/officeDocument/2006/relationships/hyperlink" Target="https://esipa.cz/sbirka/sbsrv.dll/sb?DR=AZ&amp;CP=1963s099-2007s296#C03_H02_P134" TargetMode="External"/><Relationship Id="rId27" Type="http://schemas.openxmlformats.org/officeDocument/2006/relationships/hyperlink" Target="https://esipa.cz/sbirka/sbsrv.dll/sb?DR=SB&amp;CP=2006s312" TargetMode="External"/><Relationship Id="rId28" Type="http://schemas.openxmlformats.org/officeDocument/2006/relationships/hyperlink" Target="https://esipa.cz/sbirka/sbsrv.dll/sb?DR=SB&amp;CP=2004s235" TargetMode="External"/><Relationship Id="rId29" Type="http://schemas.openxmlformats.org/officeDocument/2006/relationships/hyperlink" Target="https://esipa.cz/sbirka/sbsrv.dll/sb?DR=SB&amp;CP=2000s458" TargetMode="External"/><Relationship Id="rId30" Type="http://schemas.openxmlformats.org/officeDocument/2006/relationships/hyperlink" Target="https://esipa.cz/sbirka/sbsrv.dll/sb?DR=AZ&amp;CP=1964s040-2007s296#C02_H02_P137" TargetMode="External"/><Relationship Id="rId31" Type="http://schemas.openxmlformats.org/officeDocument/2006/relationships/hyperlink" Target="https://esipa.cz/sbirka/sbsrv.dll/sb?DR=SB&amp;CP=1992s586" TargetMode="External"/><Relationship Id="rId32" Type="http://schemas.openxmlformats.org/officeDocument/2006/relationships/hyperlink" Target="https://esipa.cz/sbirka/sbsrv.dll/sb?DR=SB&amp;CP=2007s362" TargetMode="External"/><Relationship Id="rId33" Type="http://schemas.openxmlformats.org/officeDocument/2006/relationships/hyperlink" Target="https://esipa.cz/sbirka/sbsrv.dll/sb?DR=AZ&amp;CP=1991s513-2007s296#C01_H03_P038I" TargetMode="External"/><Relationship Id="rId34" Type="http://schemas.openxmlformats.org/officeDocument/2006/relationships/hyperlink" Target="https://esipa.cz/sbirka/sbsrv.dll/sb?DR=SB&amp;CP=2008s300" TargetMode="External"/><Relationship Id="rId35" Type="http://schemas.openxmlformats.org/officeDocument/2006/relationships/hyperlink" Target="https://esipa.cz/sbirka/sbsrv.dll/sb?DR=AZ&amp;CP=1963s099-2007s296#C01_H04_P053" TargetMode="External"/><Relationship Id="rId36" Type="http://schemas.openxmlformats.org/officeDocument/2006/relationships/hyperlink" Target="https://esipa.cz/sbirka/sbsrv.dll/sb?DR=SB&amp;CP=2004s256" TargetMode="External"/><Relationship Id="rId37" Type="http://schemas.openxmlformats.org/officeDocument/2006/relationships/hyperlink" Target="https://esipa.cz/sbirka/sbsrv.dll/sb?DR=SB&amp;CP=2008s230" TargetMode="External"/><Relationship Id="rId38" Type="http://schemas.openxmlformats.org/officeDocument/2006/relationships/hyperlink" Target="https://esipa.cz/sbirka/sbsrv.dll/sb?DR=SB&amp;CP=2011s188" TargetMode="External"/><Relationship Id="rId39" Type="http://schemas.openxmlformats.org/officeDocument/2006/relationships/hyperlink" Target="https://esipa.cz/sbirka/sbsrv.dll/sb?DR=AZ&amp;CP=1963s099-2007s296#C02_H02_P076" TargetMode="External"/><Relationship Id="rId40" Type="http://schemas.openxmlformats.org/officeDocument/2006/relationships/hyperlink" Target="https://esipa.cz/sbirka/sbsrv.dll/sb?DR=AZ&amp;CP=1963s099-2007s296#C01_H04_P042" TargetMode="External"/><Relationship Id="rId41" Type="http://schemas.openxmlformats.org/officeDocument/2006/relationships/hyperlink" Target="https://esipa.cz/sbirka/sbsrv.dll/sb?DR=AZ&amp;CP=1991s513-2007s296#C02_H01_D01_P066A" TargetMode="External"/><Relationship Id="rId42" Type="http://schemas.openxmlformats.org/officeDocument/2006/relationships/hyperlink" Target="https://esipa.cz/sbirka/sbsrv.dll/sb?DR=AZ&amp;CP=1988s061-2007s296#C02_OD02_P006" TargetMode="External"/><Relationship Id="rId43" Type="http://schemas.openxmlformats.org/officeDocument/2006/relationships/hyperlink" Target="https://esipa.cz/sbirka/sbsrv.dll/sb?DR=SB&amp;CP=1988s061" TargetMode="External"/><Relationship Id="rId44" Type="http://schemas.openxmlformats.org/officeDocument/2006/relationships/hyperlink" Target="https://esipa.cz/sbirka/sbsrv.dll/sb?DR=AZ&amp;CP=1967s037-2002s432#C04_P029" TargetMode="External"/><Relationship Id="rId45" Type="http://schemas.openxmlformats.org/officeDocument/2006/relationships/hyperlink" Target="https://esipa.cz/sbirka/sbsrv.dll/sb?DR=SB&amp;CP=1967s037" TargetMode="External"/><Relationship Id="rId46" Type="http://schemas.openxmlformats.org/officeDocument/2006/relationships/hyperlink" Target="https://esipa.cz/sbirka/sbsrv.dll/sb?DR=SB&amp;CP=1993s077" TargetMode="External"/><Relationship Id="rId47" Type="http://schemas.openxmlformats.org/officeDocument/2006/relationships/hyperlink" Target="https://esipa.cz/sbirka/sbsrv.dll/sb?DR=AZ&amp;CP=1963s099-2007s296#C03_H01_P079" TargetMode="External"/><Relationship Id="rId48" Type="http://schemas.openxmlformats.org/officeDocument/2006/relationships/hyperlink" Target="https://esipa.cz/sbirka/sbsrv.dll/sb?DR=SB&amp;CP=2004s190" TargetMode="External"/><Relationship Id="rId49" Type="http://schemas.openxmlformats.org/officeDocument/2006/relationships/hyperlink" Target="https://esipa.cz/sbirka/sbsrv.dll/sb?DR=AZ&amp;CP=1963s099-2007s296#C06_H05_P321" TargetMode="External"/><Relationship Id="rId50" Type="http://schemas.openxmlformats.org/officeDocument/2006/relationships/hyperlink" Target="https://esipa.cz/sbirka/sbsrv.dll/sb?DR=AZ&amp;CP=1963s099-2007s296#C06_H05_P322" TargetMode="External"/><Relationship Id="rId51" Type="http://schemas.openxmlformats.org/officeDocument/2006/relationships/hyperlink" Target="https://esipa.cz/sbirka/sbsrv.dll/sb?DR=AZ&amp;CP=1963s099-2007s296#C06_H02_P279" TargetMode="External"/><Relationship Id="rId52" Type="http://schemas.openxmlformats.org/officeDocument/2006/relationships/hyperlink" Target="https://esipa.cz/sbirka/sbsrv.dll/sb?DR=AZ&amp;CP=1988s044-2007s296#C07_P031" TargetMode="External"/><Relationship Id="rId53" Type="http://schemas.openxmlformats.org/officeDocument/2006/relationships/hyperlink" Target="https://esipa.cz/sbirka/sbsrv.dll/sb?DR=AZ&amp;CP=1988s044-2007s296#C09_P037A" TargetMode="External"/><Relationship Id="rId54" Type="http://schemas.openxmlformats.org/officeDocument/2006/relationships/hyperlink" Target="https://esipa.cz/sbirka/sbsrv.dll/sb?DR=SB&amp;CP=1988s044" TargetMode="External"/><Relationship Id="rId55" Type="http://schemas.openxmlformats.org/officeDocument/2006/relationships/hyperlink" Target="https://esipa.cz/sbirka/sbsrv.dll/sb?DR=SB&amp;CP=2000s219" TargetMode="External"/><Relationship Id="rId56" Type="http://schemas.openxmlformats.org/officeDocument/2006/relationships/hyperlink" Target="https://esipa.cz/sbirka/sbsrv.dll/sb?DR=AZ&amp;CP=1991s513-2007s296#C01_H01_D02_P005" TargetMode="External"/><Relationship Id="rId57" Type="http://schemas.openxmlformats.org/officeDocument/2006/relationships/hyperlink" Target="https://esipa.cz/sbirka/sbsrv.dll/sb?DR=AZ&amp;CP=1987s020-2007s158#C01_P002" TargetMode="External"/><Relationship Id="rId58" Type="http://schemas.openxmlformats.org/officeDocument/2006/relationships/hyperlink" Target="https://esipa.cz/sbirka/sbsrv.dll/sb?DR=SB&amp;CP=1987s020" TargetMode="External"/><Relationship Id="rId59" Type="http://schemas.openxmlformats.org/officeDocument/2006/relationships/hyperlink" Target="https://esipa.cz/sbirka/sbsrv.dll/sb?DR=AZ&amp;CP=1991s513-2007s296#C02_H01_D01_P058" TargetMode="External"/><Relationship Id="rId60" Type="http://schemas.openxmlformats.org/officeDocument/2006/relationships/hyperlink" Target="https://esipa.cz/sbirka/sbsrv.dll/sb?DR=AZ&amp;CP=1996s085-2007s296#C02_H01_P007B" TargetMode="External"/><Relationship Id="rId61" Type="http://schemas.openxmlformats.org/officeDocument/2006/relationships/hyperlink" Target="https://esipa.cz/sbirka/sbsrv.dll/sb?DR=SB&amp;CP=1996s085" TargetMode="External"/><Relationship Id="rId62" Type="http://schemas.openxmlformats.org/officeDocument/2006/relationships/hyperlink" Target="https://esipa.cz/sbirka/sbsrv.dll/sb?DR=AZ&amp;CP=1991s455-2007s296#C01_H02_P008" TargetMode="External"/><Relationship Id="rId63" Type="http://schemas.openxmlformats.org/officeDocument/2006/relationships/hyperlink" Target="https://esipa.cz/sbirka/sbsrv.dll/sb?DR=SB&amp;CP=1991s455" TargetMode="External"/><Relationship Id="rId64" Type="http://schemas.openxmlformats.org/officeDocument/2006/relationships/hyperlink" Target="https://esipa.cz/sbirka/sbsrv.dll/sb?DR=AZ&amp;CP=1963s099-2007s296#C03_H01_P091" TargetMode="External"/><Relationship Id="rId65" Type="http://schemas.openxmlformats.org/officeDocument/2006/relationships/hyperlink" Target="https://esipa.cz/sbirka/sbsrv.dll/sb?DR=AZ&amp;CP=1963s099-2007s296#C03_H01_P093" TargetMode="External"/><Relationship Id="rId66" Type="http://schemas.openxmlformats.org/officeDocument/2006/relationships/hyperlink" Target="https://esipa.cz/sbirka/sbsrv.dll/sb?DR=SB&amp;CP=2000s118" TargetMode="External"/><Relationship Id="rId67" Type="http://schemas.openxmlformats.org/officeDocument/2006/relationships/hyperlink" Target="https://esipa.cz/sbirka/sbsrv.dll/sb?DR=SB&amp;CP=2004s436" TargetMode="External"/><Relationship Id="rId68" Type="http://schemas.openxmlformats.org/officeDocument/2006/relationships/hyperlink" Target="https://esipa.cz/sbirka/sbsrv.dll/sb?DR=SB&amp;CP=1992s589" TargetMode="External"/><Relationship Id="rId69" Type="http://schemas.openxmlformats.org/officeDocument/2006/relationships/hyperlink" Target="https://esipa.cz/sbirka/sbsrv.dll/sb?DR=AZ&amp;CP=1995s114-2006s186#C03_P008" TargetMode="External"/><Relationship Id="rId70" Type="http://schemas.openxmlformats.org/officeDocument/2006/relationships/hyperlink" Target="https://esipa.cz/sbirka/sbsrv.dll/sb?DR=SB&amp;CP=1995s114" TargetMode="External"/><Relationship Id="rId71" Type="http://schemas.openxmlformats.org/officeDocument/2006/relationships/hyperlink" Target="https://esipa.cz/sbirka/sbsrv.dll/sb?DR=AZ&amp;CP=1995s222-2006s517#P028" TargetMode="External"/><Relationship Id="rId72" Type="http://schemas.openxmlformats.org/officeDocument/2006/relationships/hyperlink" Target="https://esipa.cz/sbirka/sbsrv.dll/sb?DR=SB&amp;CP=1995s222" TargetMode="External"/><Relationship Id="rId73" Type="http://schemas.openxmlformats.org/officeDocument/2006/relationships/hyperlink" Target="https://esipa.cz/sbirka/sbsrv.dll/sb?DR=SB&amp;CP=2000s026" TargetMode="External"/><Relationship Id="rId74" Type="http://schemas.openxmlformats.org/officeDocument/2006/relationships/hyperlink" Target="https://esipa.cz/sbirka/sbsrv.dll/sb?DR=SB&amp;CP=1991s563" TargetMode="External"/><Relationship Id="rId75" Type="http://schemas.openxmlformats.org/officeDocument/2006/relationships/hyperlink" Target="https://esipa.cz/sbirka/sbsrv.dll/sb?DR=SB&amp;CP=2001s143" TargetMode="External"/><Relationship Id="rId76" Type="http://schemas.openxmlformats.org/officeDocument/2006/relationships/hyperlink" Target="https://esipa.cz/sbirka/sbsrv.dll/sb?DR=AZ&amp;CP=2002s124-2007s120#C04_P024" TargetMode="External"/><Relationship Id="rId77" Type="http://schemas.openxmlformats.org/officeDocument/2006/relationships/hyperlink" Target="https://esipa.cz/sbirka/sbsrv.dll/sb?DR=SB&amp;CP=2002s124" TargetMode="External"/><Relationship Id="rId78" Type="http://schemas.openxmlformats.org/officeDocument/2006/relationships/hyperlink" Target="https://esipa.cz/sbirka/sbsrv.dll/sb?DR=AZ&amp;CP=2002s124-2007s120#C04_P029" TargetMode="External"/><Relationship Id="rId79" Type="http://schemas.openxmlformats.org/officeDocument/2006/relationships/hyperlink" Target="https://esipa.cz/sbirka/sbsrv.dll/sb?DR=SB&amp;CP=2010s409" TargetMode="External"/><Relationship Id="rId80" Type="http://schemas.openxmlformats.org/officeDocument/2006/relationships/hyperlink" Target="https://esipa.cz/sbirka/sbsrv.dll/sb?DR=SB&amp;CP=32001L0024" TargetMode="External"/><Relationship Id="rId81" Type="http://schemas.openxmlformats.org/officeDocument/2006/relationships/hyperlink" Target="https://esipa.cz/sbirka/sbsrv.dll/sb?DR=AZ&amp;CP=1992s021-2007s296#C02_P005A" TargetMode="External"/><Relationship Id="rId82" Type="http://schemas.openxmlformats.org/officeDocument/2006/relationships/hyperlink" Target="https://esipa.cz/sbirka/sbsrv.dll/sb?DR=SB&amp;CP=1992s021" TargetMode="External"/><Relationship Id="rId83" Type="http://schemas.openxmlformats.org/officeDocument/2006/relationships/hyperlink" Target="https://esipa.cz/sbirka/sbsrv.dll/sb?DR=SB&amp;CP=32000L0012" TargetMode="External"/><Relationship Id="rId84" Type="http://schemas.openxmlformats.org/officeDocument/2006/relationships/hyperlink" Target="https://esipa.cz/sbirka/sbsrv.dll/sb?DR=SB&amp;CP=32001L0017" TargetMode="External"/><Relationship Id="rId85" Type="http://schemas.openxmlformats.org/officeDocument/2006/relationships/hyperlink" Target="https://esipa.cz/sbirka/sbsrv.dll/sb?DR=AZ&amp;CP=1999s363-2007s296#C01_H01_P005C" TargetMode="External"/><Relationship Id="rId86" Type="http://schemas.openxmlformats.org/officeDocument/2006/relationships/hyperlink" Target="https://esipa.cz/sbirka/sbsrv.dll/sb?DR=SB&amp;CP=1999s363" TargetMode="External"/><Relationship Id="rId87" Type="http://schemas.openxmlformats.org/officeDocument/2006/relationships/hyperlink" Target="https://esipa.cz/sbirka/sbsrv.dll/sb?DR=SB&amp;CP=2004s039" TargetMode="External"/><Relationship Id="rId88" Type="http://schemas.openxmlformats.org/officeDocument/2006/relationships/hyperlink" Target="https://esipa.cz/sbirka/sbsrv.dll/sb?DR=AZ&amp;CP=1999s363-2007s296#C01_H01_P005A" TargetMode="External"/><Relationship Id="rId89" Type="http://schemas.openxmlformats.org/officeDocument/2006/relationships/hyperlink" Target="https://esipa.cz/sbirka/sbsrv.dll/sb?DR=SB&amp;CP=2004s499" TargetMode="External"/><Relationship Id="rId90" Type="http://schemas.openxmlformats.org/officeDocument/2006/relationships/hyperlink" Target="https://esipa.cz/sbirka/sbsrv.dll/sb?DR=SB&amp;CP=32000R1346" TargetMode="External"/><Relationship Id="rId91" Type="http://schemas.openxmlformats.org/officeDocument/2006/relationships/hyperlink" Target="https://esipa.cz/sbirka/sbsrv.dll/sb?DR=SB&amp;CP=2009s190" TargetMode="External"/><Relationship Id="rId92" Type="http://schemas.openxmlformats.org/officeDocument/2006/relationships/header" Target="header1.xml"/><Relationship Id="rId9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375/2015 Sb. z 1. 1. 2016</dc:title>
  <dc:description>Zákon o úpadku a způsobech jeho řešení (insolvenční zákon)</dc:description>
  <dc:subject/>
  <cp:keywords/>
  <cp:category/>
  <cp:lastModifiedBy/>
  <dcterms:created xsi:type="dcterms:W3CDTF">2016-01-01T00:00:00+01:00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