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instituce elektronických peněz</w:t>
      </w:r>
      <w:r>
        <w:rPr>
          <w:vertAlign w:val="superscript"/>
        </w:rPr>
        <w:t xml:space="preserve">1</w:t>
      </w:r>
      <w:r>
        <w:rPr/>
        <w:t xml:space="preserve">)</w:t>
      </w:r>
      <w:r>
        <w:rPr/>
        <w:t xml:space="preserve">,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Zajišťovací fond družstevních záložen,</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w:t>
      </w:r>
      <w:r>
        <w:rPr/>
        <w:t xml:space="preserve">§ 16</w:t>
      </w:r>
      <w:r>
        <w:rPr/>
        <w:t xml:space="preserve"> odst. 3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Není-li dále stanoveno jinak, je buď žalobcem nebo žalovaným v incidenčním sporu insolvenční správce.</w:t>
      </w:r>
    </w:p>
    <w:p>
      <w:pPr>
        <w:ind w:left="0" w:right="0"/>
      </w:pPr>
      <w:r>
        <w:rPr>
          <w:b/>
          <w:bCs/>
        </w:rPr>
        <w:t xml:space="preserve">(3)</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(dále jen „seznam“), který vede Ministerstvo spravedlnosti (dále jen „ministerstvo“).</w:t>
      </w:r>
    </w:p>
    <w:p>
      <w:pPr>
        <w:ind w:left="0" w:right="0"/>
      </w:pPr>
      <w:r>
        <w:rPr>
          <w:b/>
          <w:bCs/>
        </w:rPr>
        <w:t xml:space="preserve">(2)</w:t>
      </w:r>
      <w:r>
        <w:rPr/>
        <w:t xml:space="preserve"> Do seznamu lze na její návrh zapsat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fyzickou osobu, která je bezúhonná a způsobilá k právním úkonům, má vysokoškolské vzdělání právnického nebo ekonomického směru a prokáže odbornou způsobilost v insolvenčním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veřejnou obchodní společnost, která bude činnost insolvenčního správce vykonávat prostřednictvím svých společníků, o kterých prokáže, že jako fyzické osoby splňují podmínky zapsání do seznamu.</w:t>
      </w:r>
    </w:p>
    <w:p>
      <w:pPr>
        <w:ind w:left="0" w:right="0"/>
      </w:pPr>
      <w:r>
        <w:rPr>
          <w:b/>
          <w:bCs/>
        </w:rPr>
        <w:t xml:space="preserve">(3)</w:t>
      </w:r>
      <w:r>
        <w:rPr/>
        <w:t xml:space="preserve"> Náležitosti seznamu správců, údaje do něj zapisované, členění seznamu správců a jeho vedení a podmínky zápisu do seznamu správců a vyškrtnutí z něj stanoví prováděcí právní předpis.</w:t>
      </w:r>
    </w:p>
    <w:p>
      <w:pPr>
        <w:pStyle w:val="Heading4"/>
      </w:pPr>
      <w:r>
        <w:rPr>
          <w:b/>
          <w:bCs/>
        </w:rPr>
        <w:t xml:space="preserve">§ 22</w:t>
      </w:r>
    </w:p>
    <w:p>
      <w:pPr>
        <w:ind w:left="0" w:right="0"/>
      </w:pPr>
      <w:r>
        <w:rPr>
          <w:b/>
          <w:bCs/>
        </w:rPr>
        <w:t xml:space="preserve">(1)</w:t>
      </w:r>
      <w:r>
        <w:rPr/>
        <w:t xml:space="preserve"> Osoba zapsaná do seznamu může své ustanovení správcem odmítnout, jen má-li pro to důležité důvody.</w:t>
      </w:r>
    </w:p>
    <w:p>
      <w:pPr>
        <w:ind w:left="0" w:right="0"/>
      </w:pPr>
      <w:r>
        <w:rPr>
          <w:b/>
          <w:bCs/>
        </w:rPr>
        <w:t xml:space="preserve">(2)</w:t>
      </w:r>
      <w:r>
        <w:rPr/>
        <w:t xml:space="preserve"> Nelze-li insolvenčního správce vybrat ze seznamu,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 uzavření této smlouvy je podmínkou pro zápis do seznamu podle </w:t>
      </w:r>
      <w:r>
        <w:rPr/>
        <w:t xml:space="preserve">§ 21</w:t>
      </w:r>
      <w:r>
        <w:rPr/>
        <w:t xml:space="preserve"> odst. 1 a pro ustanovení insolvenčního správce podle </w:t>
      </w:r>
      <w:r>
        <w:rPr/>
        <w:t xml:space="preserve">§ 22</w:t>
      </w:r>
      <w:r>
        <w:rPr/>
        <w:t xml:space="preserve"> odst. 2.</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insolvenčním správcem ustanoví osobu, kterou určí předseda insolvenčního soudu.</w:t>
      </w:r>
    </w:p>
    <w:p>
      <w:pPr>
        <w:ind w:left="0" w:right="0"/>
      </w:pPr>
      <w:r>
        <w:rPr>
          <w:b/>
          <w:bCs/>
        </w:rPr>
        <w:t xml:space="preserve">(2)</w:t>
      </w:r>
      <w:r>
        <w:rPr/>
        <w:t xml:space="preserve">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t xml:space="preserve">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zástupce,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w:t>
      </w:r>
      <w:r>
        <w:rPr/>
        <w:t xml:space="preserve">§ 50</w:t>
      </w:r>
      <w:r>
        <w:rPr/>
        <w:t xml:space="preserve"> odst. 2). Předmětem jednání první schůze věřitelů je vždy volba věřitelského výboru a usnesení věřitelů podle </w:t>
      </w:r>
      <w:r>
        <w:rPr/>
        <w:t xml:space="preserve">§ 29</w:t>
      </w:r>
      <w:r>
        <w:rPr/>
        <w:t xml:space="preserve"> odst. 1, byl-li ustanoven insolvenční správce a koná-li se tato schůze po přezkumném jednání, zpráva tohoto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uzávěrky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jejichž pracovní poměr se zakládá volbou nebo jmenováním</w:t>
      </w:r>
      <w:r>
        <w:rPr>
          <w:vertAlign w:val="superscript"/>
        </w:rPr>
        <w:t xml:space="preserve">14</w:t>
      </w:r>
      <w:r>
        <w:rPr/>
        <w:t xml:space="preserve">)</w:t>
      </w:r>
      <w:r>
        <w:rPr/>
        <w:t xml:space="preserv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insolvenčních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w:t>
      </w:r>
      <w:r>
        <w:rPr>
          <w:vertAlign w:val="superscript"/>
        </w:rPr>
        <w:t xml:space="preserve">15</w:t>
      </w:r>
      <w:r>
        <w:rPr/>
        <w:t xml:space="preserve">)</w:t>
      </w:r>
      <w:r>
        <w:rPr/>
        <w:t xml:space="preserve">,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předá insolvenční soud doručujícímu orgánu k doručení na adresu jeho sídla zapsanou v seznamu insolvenčních správců. Jestliže insolvenční správce o to požádá, insolvenční soud předá písemnost k doručení na jinou adresu v České republice, kterou sdělil insolvenčnímu soudu; to neplatí, nemůže-li mu být písemnost v označeném místě doručena způsobem stanoveným tímto zákonem.</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Nebyl-li na adrese uvedené v odstavci 1 zastižen insolvenční správce nebo osoba, která by byla oprávněna podle odstavce 2 za něj písemnost přijmout, doručující orgán písemnost uloží.</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předá insolvenční soud písemnost určenou insolvenčnímu správci doručujícímu orgánu k doručení tímto způsobem; </w:t>
      </w:r>
      <w:r>
        <w:rPr/>
        <w:t xml:space="preserve">§ 77</w:t>
      </w:r>
      <w:r>
        <w:rPr/>
        <w:t xml:space="preserve">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předá doručujícímu orgánu k doručení na adresu jeho předsedy. Nepodaří-li se písemnost doručit proto, že se předseda věřitelského výboru v místě doručování nezdržuje a jiná jeho adresa není insolvenčnímu soudu známa, insolvenční soud předá písemnost k doručení na adresu kteréhokoli ze zbývajících členů věřitelského výboru.</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to neplatí, nemůže-li být písemnost v označeném místě doručena způsobem stanoveným tímto zákonem.</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t xml:space="preserve">Předběžné opatření v insolvenčním řízení může insolvenční soud nařídit i bez návrhu. Předběžným opatřením může insolvenční soud také ustanovit předběžného správce.</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Komise pro cenné papíry pozastavila obchodování se všemi investičními nástroji na regulovaném trhu podle zvláštního právního předpisu</w:t>
      </w:r>
      <w:r>
        <w:rPr>
          <w:vertAlign w:val="superscript"/>
        </w:rPr>
        <w:t xml:space="preserve">18</w:t>
      </w:r>
      <w:r>
        <w:rPr/>
        <w:t xml:space="preserve">)</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8"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Komisi pro cenné papíry, je-li dlužník účastníkem vypořádacího systému podle zvláštního právního předpisu</w:t>
      </w:r>
      <w:r>
        <w:rPr>
          <w:vertAlign w:val="superscript"/>
        </w:rPr>
        <w:t xml:space="preserve">18</w:t>
      </w:r>
      <w:r>
        <w:rPr/>
        <w:t xml:space="preserve">).</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insolvenčních věřitelů svolá insolvenční soud tak, aby se konala nejpozději do 2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15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v jehož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Komisi pro cenné papíry, je-li dlužník účastníkem vypořádacího systému podle zvláštního právního předpisu</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všemi skupinami věřitelů,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r>
        <w:rPr/>
        <w:t xml:space="preserve">§ 80</w:t>
      </w:r>
      <w:r>
        <w:rPr/>
        <w:t xml:space="preserve"> odst. 1, účastníkům řízení se písemnosti doručují zvlášť a rozhodnutí ve věci samé do vlastních rukou.</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t xml:space="preserve">Insolvenční soud projedná incidenční spor při jednání, pro které neplatí ustanovení o jednání v insolvenčním řízení. K tomuto jednání předvolá účastníky a osoby, jejichž účasti je třeba. Od jednání může soud upustit v případech, kdy to připouští občanský soudní řád.</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nutných výdajů a odměna předběžného správce, likvidátora jmenovaného soudem a správce podniku dlužníka za součinnost poskytnutou předběžnému správci nebo insolvenčnímu správci; to neplatí, byl-li předběžný správce, likvidátor nebo správce podniku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věřitelů vzniklé za trvání moratoria ze smluv podle </w:t>
      </w:r>
      <w:r>
        <w:rPr/>
        <w:t xml:space="preserve">§ 122</w:t>
      </w:r>
      <w:r>
        <w:rPr/>
        <w:t xml:space="preserve"> odst. 2.</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které vznikly v posledních 3 letech před rozhodnutím o úpadku nebo po něm,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úřadů práce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insolvenční soud uloží, aby ve prospěch majetkové podstaty zaplatil částku, o kterou přihlášená pohledávka převýšila rozsah, ve kterém byla zjištěna.</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w:t>
      </w:r>
      <w:r>
        <w:rPr/>
        <w:t xml:space="preserve">§ 299</w:t>
      </w:r>
      <w:r>
        <w:rPr/>
        <w:t xml:space="preserve"> odst. 2 tím není dotčeno. Věřiteli, který takovou pohledávku přihlásil, insolvenční soud uloží, aby ve prospěch zajištěných věřitelů, kteří přihlásili pohledávku se zajištěním ke stejnému majetku, zaplatil částku, o kterou hodnota zajištění uvedená v přihlášce převýšila hodnotu zjištěného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Dlužník a insolvenční správce mohou popírat pravost, výši a pořadí všech přihlášených pohledávek; jednotliví věřitelé toto právo nemají. Stanovisko, které insolvenční správce zaujal k jednotlivým pohledávkám v seznamu přihlášených pohledávek, může při přezkumném jednání změnit.</w:t>
      </w:r>
    </w:p>
    <w:p>
      <w:pPr>
        <w:ind w:left="0" w:right="0"/>
      </w:pPr>
      <w:r>
        <w:rPr>
          <w:b/>
          <w:bCs/>
        </w:rPr>
        <w:t xml:space="preserve">(2)</w:t>
      </w:r>
      <w:r>
        <w:rPr/>
        <w:t xml:space="preserve"> Věřitel může až do přezkoumání jím přihlášené pohledávky, dokud jeho pohledávka není zjištěna nebo účinně popřena, měnit důvod vzniku přihlašované pohledávky, její výši nebo pořadí.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dlužníkem</w:t>
      </w:r>
    </w:p>
    <w:p>
      <w:pPr>
        <w:ind w:left="0" w:right="0"/>
      </w:pPr>
      <w:r>
        <w:rPr/>
        <w:t xml:space="preserve">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pStyle w:val="Heading5"/>
      </w:pPr>
      <w:r>
        <w:rPr>
          <w:b/>
          <w:bCs/>
        </w:rPr>
        <w:t xml:space="preserve">§ 201</w:t>
      </w:r>
    </w:p>
    <w:p>
      <w:pPr>
        <w:ind w:left="0" w:right="0"/>
      </w:pPr>
      <w:r>
        <w:rPr>
          <w:b/>
          <w:bCs/>
        </w:rPr>
        <w:t xml:space="preserve">(1)</w:t>
      </w:r>
      <w:r>
        <w:rPr/>
        <w:t xml:space="preserve"> Nevykonatelná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insolvenční správce, který ji popřel, vezme své popření zpět,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rozhodnutím insolvenčního soudu ve sporu o určení její pravosti, výše nebo pořadí.</w:t>
      </w:r>
    </w:p>
    <w:p>
      <w:pPr>
        <w:ind w:left="0" w:right="0"/>
      </w:pPr>
      <w:r>
        <w:rPr>
          <w:b/>
          <w:bCs/>
        </w:rPr>
        <w:t xml:space="preserve">(2)</w:t>
      </w:r>
      <w:r>
        <w:rPr/>
        <w:t xml:space="preserve"> Vykonatelná pohledávka je zjištěna, nebyla-li včas podána žaloba podle </w:t>
      </w:r>
      <w:r>
        <w:rPr/>
        <w:t xml:space="preserve">§ 198</w:t>
      </w:r>
      <w:r>
        <w:rPr/>
        <w:t xml:space="preserve"> nebo byla-li taková žaloba zamítnuta anebo řízení o ní skončilo jinak než rozhodnutím ve věci samé.</w:t>
      </w:r>
    </w:p>
    <w:p>
      <w:pPr>
        <w:ind w:left="0" w:right="0"/>
      </w:pPr>
      <w:r>
        <w:rPr>
          <w:b/>
          <w:bCs/>
        </w:rPr>
        <w:t xml:space="preserve">(3)</w:t>
      </w:r>
      <w:r>
        <w:rPr/>
        <w:t xml:space="preserve"> Výsledek sporu o určení pravosti, výše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k soudu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w:t>
      </w:r>
      <w:r>
        <w:rPr/>
        <w:t xml:space="preserve">§ 213</w:t>
      </w:r>
      <w:r>
        <w:rPr/>
        <w:t xml:space="preserve">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musí být v souladu se zvláštními právními předpisy o oceňování majetku; nepromítá se však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Postup podle odstavců 1 až 4 se neuplatní, byl-li ustanoven znalec podle </w:t>
      </w:r>
      <w:r>
        <w:rPr/>
        <w:t xml:space="preserve">§ 153</w:t>
      </w:r>
      <w:r>
        <w:rPr/>
        <w:t xml:space="preserve"> odst. 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správce písemně vyrozumí o zahrnutí majetku do soupisu a na její žádost jí o tom vydá osvědčení. Osvědčení musí vždy obsahovat i uvedení důvodu, pro který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zástupce.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Dědici mají povinnost podle odstavce 2 pouze v rozsahu své odpovědnosti za dluhy zůstavitele. Připadne-li dědictví osob uvedených v odstavci 1 státu, platí odstavec 2 obdobně.</w:t>
      </w:r>
    </w:p>
    <w:p>
      <w:pPr>
        <w:ind w:left="0" w:right="0"/>
      </w:pPr>
      <w:r>
        <w:rPr>
          <w:b/>
          <w:bCs/>
        </w:rPr>
        <w:t xml:space="preserve">(4)</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(5)</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ind w:left="0" w:right="0"/>
      </w:pPr>
      <w:r>
        <w:rPr/>
        <w:t xml:space="preserve">O prohlášení konkursu vyrozumí insolvenční soud současně se zveřejněním usnesení v insolvenčním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Českou národní banku, je-li dlužník účastníkem platebního systému uvedeného v seznamu České národní banky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Komisi pro cenné papíry, je-li dlužník účastníkem vypořádacího systému uvedeného v seznamu Komise pro cenné papíry podle zvláštního právního předpisu</w:t>
      </w:r>
      <w:r>
        <w:rPr>
          <w:vertAlign w:val="superscript"/>
        </w:rPr>
        <w:t xml:space="preserve">18</w:t>
      </w:r>
      <w:r>
        <w:rPr/>
        <w:t xml:space="preserve">).</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nebo burzovní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nebo burzovní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w:t>
      </w:r>
      <w:hyperlink r:id="rId9" w:history="1">
        <w:r>
          <w:rPr>
            <w:color w:val="darkblue"/>
            <w:u w:val="single"/>
          </w:rPr>
          <w:t xml:space="preserve">§ 711</w:t>
        </w:r>
      </w:hyperlink>
      <w:r>
        <w:rPr/>
        <w:t xml:space="preserve"> občanského zákoníku tím není dotčeno.</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úřadu práce o dlužných mzdových nárocích zaměstnanců dlužníka podle zvláštního právního předpisu</w:t>
      </w:r>
      <w:r>
        <w:rPr>
          <w:vertAlign w:val="superscript"/>
        </w:rPr>
        <w:t xml:space="preserve">39</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w:t>
      </w:r>
      <w:r>
        <w:rPr/>
        <w:t xml:space="preserve">§ 202</w:t>
      </w:r>
      <w:r>
        <w:rPr/>
        <w:t xml:space="preserve">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uzávěrku.</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v případě přivolení k výpovědi z nájmu bytu podle </w:t>
      </w:r>
      <w:hyperlink r:id="rId9" w:history="1">
        <w:r>
          <w:rPr>
            <w:color w:val="darkblue"/>
            <w:u w:val="single"/>
          </w:rPr>
          <w:t xml:space="preserve">§ 711</w:t>
        </w:r>
      </w:hyperlink>
      <w:r>
        <w:rPr/>
        <w:t xml:space="preserve"> odst. 1 písm. d) občanského zákoníku.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0" w:history="1">
        <w:r>
          <w:rPr>
            <w:color w:val="darkblue"/>
            <w:u w:val="single"/>
          </w:rPr>
          <w:t xml:space="preserve">§ 23</w:t>
        </w:r>
      </w:hyperlink>
      <w:r>
        <w:rPr/>
        <w:t xml:space="preserve"> odst. 1 a 3 a </w:t>
      </w:r>
      <w:hyperlink r:id="rId11" w:history="1">
        <w:r>
          <w:rPr>
            <w:color w:val="darkblue"/>
            <w:u w:val="single"/>
          </w:rPr>
          <w:t xml:space="preserve">§ 24</w:t>
        </w:r>
      </w:hyperlink>
      <w:r>
        <w:rPr/>
        <w:t xml:space="preserve"> zákona č. </w:t>
      </w:r>
      <w:hyperlink r:id="rId12"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jejichž pracovní poměr se zakládá volbou nebo jmenováním</w:t>
      </w:r>
      <w:r>
        <w:rPr>
          <w:vertAlign w:val="superscript"/>
        </w:rPr>
        <w:t xml:space="preserve">14</w:t>
      </w:r>
      <w:r>
        <w:rPr/>
        <w:t xml:space="preserv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w:t>
      </w:r>
      <w:r>
        <w:rPr/>
        <w:t xml:space="preserve">§ 168</w:t>
      </w:r>
      <w:r>
        <w:rPr/>
        <w:t xml:space="preserve"> odst. 1 písm. d) a </w:t>
      </w:r>
      <w:r>
        <w:rPr/>
        <w:t xml:space="preserve">§ 169</w:t>
      </w:r>
      <w:r>
        <w:rPr/>
        <w:t xml:space="preserve"> odst. 1 písm. g), poté pohledávky věřitelů z úvěrového financování, poté náklady spojené s udržováním a správou majetkové podstaty a poté pohledávky věřitelů na výživném ze zákona; ostatní pohledávky se uspokojí poměrně. Výtěžku zpeněžení podle </w:t>
      </w:r>
      <w:r>
        <w:rPr/>
        <w:t xml:space="preserve">§ 298</w:t>
      </w:r>
      <w:r>
        <w:rPr/>
        <w:t xml:space="preserve">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w:t>
      </w:r>
      <w:r>
        <w:rPr/>
        <w:t xml:space="preserve">§ 306</w:t>
      </w:r>
      <w:r>
        <w:rPr/>
        <w:t xml:space="preserve"> odst. 4, složí insolvenční správce do úschovy u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není též přípustná, jestliže celkový obrat dlužníka podle zvláštního právního předpisu</w:t>
      </w:r>
      <w:r>
        <w:rPr>
          <w:vertAlign w:val="superscript"/>
        </w:rPr>
        <w:t xml:space="preserve">46</w:t>
      </w:r>
      <w:r>
        <w:rPr/>
        <w:t xml:space="preserve">) za poslední účetní období předcházející insolvenčnímu návrhu nedosáhl alespoň částku 100 000 000 Kč, nebo zaměstnává-li dlužník méně než 100 zaměstnanců v hlavním pracovním poměru.</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schválený alespoň polovinou všech zajištěných věřitelů počítanou podle výše jejich pohledávek a alespoň polovinou všech nezajištěných věřitelů počítanou podle výše pohledávek, odstavec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w:t>
      </w:r>
      <w:r>
        <w:rPr/>
        <w:t xml:space="preserve">§ 67</w:t>
      </w:r>
      <w:r>
        <w:rPr/>
        <w:t xml:space="preserve">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jejichž pracovní poměr se zakládá volbou nebo jmenováním</w:t>
      </w:r>
      <w:r>
        <w:rPr>
          <w:vertAlign w:val="superscript"/>
        </w:rPr>
        <w:t xml:space="preserve">15</w:t>
      </w:r>
      <w:r>
        <w:rPr/>
        <w:t xml:space="preserv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uzávěrku.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V případě uvedeném v </w:t>
      </w:r>
      <w:r>
        <w:rPr/>
        <w:t xml:space="preserve">§ 329</w:t>
      </w:r>
      <w:r>
        <w:rPr/>
        <w:t xml:space="preserve"> odst. 2 se odstavec 1 nepoužije.</w:t>
      </w:r>
    </w:p>
    <w:p>
      <w:pPr>
        <w:ind w:left="0" w:right="0"/>
      </w:pPr>
      <w:r>
        <w:rPr>
          <w:b/>
          <w:bCs/>
        </w:rPr>
        <w:t xml:space="preserve">(3)</w:t>
      </w:r>
      <w:r>
        <w:rPr/>
        <w:t xml:space="preserve"> Odstavec 1 se nepoužije i tehdy, jestliže se věřitelé na schůzi věřitelů podle </w:t>
      </w:r>
      <w:r>
        <w:rPr/>
        <w:t xml:space="preserve">§ 150</w:t>
      </w:r>
      <w:r>
        <w:rPr/>
        <w:t xml:space="preserve"> usnesli na tom, že způsobem řešení úpadku bude reorganizace navržená jinou osobou než dlužníkem.</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w:t>
      </w:r>
      <w:r>
        <w:rPr/>
        <w:t xml:space="preserve">§ 171</w:t>
      </w:r>
      <w:r>
        <w:rPr/>
        <w:t xml:space="preserve"> odst. 3,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kótované, podle zvláštního právního předpisu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w:t>
      </w:r>
      <w:r>
        <w:rPr/>
        <w:t xml:space="preserve">§ 171</w:t>
      </w:r>
      <w:r>
        <w:rPr/>
        <w:t xml:space="preserve"> odst. 3,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právo použít peněžní prostředky z účtu dlužníka, který je účastníkem platebního systému uvedeného v seznamu České národní banky podle zvláštního právního předpisu</w:t>
      </w:r>
      <w:r>
        <w:rPr>
          <w:vertAlign w:val="superscript"/>
        </w:rPr>
        <w:t xml:space="preserve">1</w:t>
      </w:r>
      <w:r>
        <w:rPr/>
        <w:t xml:space="preserve">), vedeného v tomto platebním systému, ke splnění závazků dlužníka vyplývajících z jeho účasti v tomto platebním systému, a to za účelem uzavření zúčtování v tomto platebním systému před rozhodnutím o úpadku nebo v den vydání rozhodnutí o úpadku.</w:t>
      </w:r>
    </w:p>
    <w:p>
      <w:pPr>
        <w:ind w:left="0" w:right="0"/>
      </w:pPr>
      <w:r>
        <w:rPr>
          <w:b/>
          <w:bCs/>
        </w:rPr>
        <w:t xml:space="preserve">(2)</w:t>
      </w:r>
      <w:r>
        <w:rPr/>
        <w:t xml:space="preserve"> Ustanovení tohoto zákona nemají vliv na povinnost platebního systému uvedeného v seznamu České národní banky podle zvláštního právního předpisu</w:t>
      </w:r>
      <w:r>
        <w:rPr>
          <w:vertAlign w:val="superscript"/>
        </w:rPr>
        <w:t xml:space="preserve">1</w:t>
      </w:r>
      <w:r>
        <w:rPr/>
        <w:t xml:space="preserve">) zpracovat příkazy dlužníka, který je účastníkem tohoto platebního systému, ani platnost a vymahatelnost těchto příkazů vůči třetím osobám, jde-li o příkazy, které byly přijaty tímto platebním systémem v souladu s jeho pravidly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účinností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okamžiku účinnosti rozhodnutí o úpadku a po účinnosti tohoto rozhodnutí, jestliže byly příkazy provedeny v den vydání rozhodnutí o úpadku, a to jen tehdy, prokáží-li osoby uvedené ve zvláštním právním předpisu</w:t>
      </w:r>
      <w:r>
        <w:rPr>
          <w:vertAlign w:val="superscript"/>
        </w:rPr>
        <w:t xml:space="preserve">48</w:t>
      </w:r>
      <w:r>
        <w:rPr/>
        <w:t xml:space="preserve">)</w:t>
      </w:r>
      <w:r>
        <w:rPr/>
        <w:t xml:space="preserve">, že jim rozhodnutí o úpadku nebylo známo, a to ani z oznámení podle zvláštního právního předpisu</w:t>
      </w:r>
      <w:r>
        <w:rPr>
          <w:vertAlign w:val="superscript"/>
        </w:rPr>
        <w:t xml:space="preserve">49</w:t>
      </w:r>
      <w:r>
        <w:rPr/>
        <w:t xml:space="preserve">)</w:t>
      </w:r>
      <w:r>
        <w:rPr/>
        <w:t xml:space="preserve">.</w:t>
      </w:r>
    </w:p>
    <w:p>
      <w:pPr>
        <w:ind w:left="0" w:right="0"/>
      </w:pPr>
      <w:r>
        <w:rPr>
          <w:b/>
          <w:bCs/>
        </w:rPr>
        <w:t xml:space="preserve">(3)</w:t>
      </w:r>
      <w:r>
        <w:rPr/>
        <w:t xml:space="preserve"> Ustanovení odstavce 2 platí obdobně pro vypořádací systémy vedené v seznamu Komise pro cenné papíry podle zvláštního právního předpisu</w:t>
      </w:r>
      <w:r>
        <w:rPr>
          <w:vertAlign w:val="superscript"/>
        </w:rPr>
        <w:t xml:space="preserve">18</w:t>
      </w:r>
      <w:r>
        <w:rPr/>
        <w:t xml:space="preserve">).</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dlužníka, který je účastníkem platebního systému uvedeného v seznamu České národní banky podle zvláštního právního předpisu</w:t>
      </w:r>
      <w:r>
        <w:rPr>
          <w:vertAlign w:val="superscript"/>
        </w:rPr>
        <w:t xml:space="preserve">1</w:t>
      </w:r>
      <w:r>
        <w:rPr/>
        <w:t xml:space="preserve">), a to v souvislosti s účastí dlužníka v tomto platebním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dlužníka, který je účastníkem vypořádacího systému uvedeného v seznamu Komise pro cenné papíry podle zvláštního právního předpisu</w:t>
      </w:r>
      <w:r>
        <w:rPr>
          <w:vertAlign w:val="superscript"/>
        </w:rPr>
        <w:t xml:space="preserve">18</w:t>
      </w:r>
      <w:r>
        <w:rPr/>
        <w:t xml:space="preserve">), a to v souvislosti s účastí dlužníka v tomto vypořádacím systému,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zajištění podle zvláštního právního předpisu nebo podle obdobného právního vztahu podle zahraniční právní úpravy.</w:t>
      </w:r>
    </w:p>
    <w:p>
      <w:pPr>
        <w:ind w:left="0" w:right="0"/>
      </w:pPr>
      <w:r>
        <w:rPr>
          <w:b/>
          <w:bCs/>
        </w:rPr>
        <w:t xml:space="preserve">(2)</w:t>
      </w:r>
      <w:r>
        <w:rPr/>
        <w:t xml:space="preserve"> Ustanovení tohoto zákona nemají vliv na závěrečné vyrovnání podle zvláštního právního předpisu</w:t>
      </w:r>
      <w:r>
        <w:rPr>
          <w:vertAlign w:val="superscript"/>
        </w:rPr>
        <w:t xml:space="preserve">50</w:t>
      </w:r>
      <w:r>
        <w:rPr/>
        <w:t xml:space="preserve">)</w:t>
      </w:r>
      <w:r>
        <w:rPr/>
        <w:t xml:space="preserve">.</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družstev,institucí elektronických peněz a osob oprávněných vydávat elektronické peníze a dále některých zahraničních bank, institucí elektronických peněz a osob oprávněných vydávat elektronické peníze</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spořitelního a úvěrního družstva nebo instituce elektronických peněz</w:t>
      </w:r>
      <w:r>
        <w:rPr>
          <w:vertAlign w:val="superscript"/>
        </w:rPr>
        <w:t xml:space="preserve">1</w:t>
      </w:r>
      <w:r>
        <w:rPr/>
        <w:t xml:space="preserve">),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nebo instituce elektronických peněz podnikající na území České republiky na základě jednotné licence podle zvláštního právního předpisu</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se sídlem nebo místem podnikání na území České republiky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se sídlem nebo místem podnikání na území Evropské unie nebo Evropského hospodářského prostoru oprávněné vydávat elektronické peníze na základě povolení podle zvláštního právního předpisu</w:t>
      </w:r>
      <w:r>
        <w:rPr>
          <w:vertAlign w:val="superscript"/>
        </w:rPr>
        <w:t xml:space="preserve">1</w:t>
      </w:r>
      <w:r>
        <w:rPr/>
        <w:t xml:space="preserve">) jiné než podle písmene c),</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se sídlem nebo místem podnikání mimo území Evropské unie nebo Evropského hospodářského prostoru oprávněné vydávat elektronické peníze na základě povolení podle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a d)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f),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Při postupu podle tohoto dílu se použijí, není-li stanoveno jinak a jde-li o úpadek osob podle odstavce 1 písm. c) až e), též ustanovení ostatních částí zákona a ustanovení ostatních hlav části druhé zákona.</w:t>
      </w:r>
    </w:p>
    <w:p>
      <w:pPr>
        <w:pStyle w:val="Heading4"/>
      </w:pPr>
      <w:r>
        <w:rPr>
          <w:b/>
          <w:bCs/>
          <w:i/>
          <w:iCs/>
        </w:rPr>
        <w:t xml:space="preserve">Oddíl 2</w:t>
      </w:r>
      <w:r>
        <w:rPr>
          <w:rStyle w:val="hidden"/>
        </w:rPr>
        <w:t xml:space="preserve"> -</w:t>
      </w:r>
      <w:br/>
      <w:r>
        <w:rPr>
          <w:i/>
          <w:iCs/>
        </w:rPr>
        <w:t xml:space="preserve">Úpadek banky, spořitelního a úvěrního družstva nebo instituce elektronických peněz po odnětí licence nebo povolení, úpadek osoby se sídlem nebo místem podnikání na území České republiky nebo mimo území Evropské unie nebo Evropského hospodářského prostoru oprávněné vydávat elektronické peníze a úpadek pobočky zahraniční banky uvedené v § 367 odst. 1 písm. f)</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nebo instituce elektronických peněz a úpadek pobočky zahraniční banky uvedené v </w:t>
      </w:r>
      <w:r>
        <w:rPr/>
        <w:t xml:space="preserve">§ 367</w:t>
      </w:r>
      <w:r>
        <w:rPr/>
        <w:t xml:space="preserve"> odst. 1 písm. f)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w:t>
      </w:r>
      <w:r>
        <w:rPr/>
        <w:t xml:space="preserve">§ 374</w:t>
      </w:r>
      <w:r>
        <w:rPr/>
        <w:t xml:space="preserve">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úpadku instituce elektronických peněz výzvu, aby věřitelé, kteří chtějí své pohledávky uplatnit v insolvenčním řízení, podali přihlášku pohledávky u insolvenčního soudu, včetně uvedení lhůty pro podání přihlášky a dne, kterým lhůta uplyne,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Insolvenční soud prostřednictvím orgánu dozoru nebo dohledu informuje o vyhlášení moratoria, o vydání rozhodnutí o úpadku nebo o vydání rozhodnutí o způsobu řešení úpadku dlužníka, který je osobou se sídlem nebo místem podnikání na území České republiky oprávněnou vydávat elektronické peníze na základě povolení podle zvláštního právního předpisu, orgán dozoru nebo dohledu ve státech, na jehož území tato osoba podniká nebo podnikala, a to před zveřejněním příslušného rozhodnutí v insolvenčním rejstříku, a není-li to možné, neprodleně poté. Informace obsahuje i upozornění na možné důsledky vyhlášení moratoria, vydání rozhodnutí o úpadku nebo vydání rozhodnutí o způsobu řešení úpadku dlužníka.</w:t>
      </w:r>
    </w:p>
    <w:p>
      <w:pPr>
        <w:ind w:left="0" w:right="0"/>
      </w:pPr>
      <w:r>
        <w:rPr>
          <w:b/>
          <w:bCs/>
        </w:rPr>
        <w:t xml:space="preserve">(5)</w:t>
      </w:r>
      <w:r>
        <w:rPr/>
        <w:t xml:space="preserve"> Insolvenční soud nebo insolvenční správce zajistí zveřejnění výtahu z příslušného rozhodnutí týkajícího se osoby se sídlem nebo místem podnikání na území České republiky oprávněné vydávat elektronické peníze na základě povolení podle zvláštního právního předpisu v nejkratší možné lhůtě alespoň ve 2 celostátně distribuovaných denících v každém státě, na jehož území osoba podniká nebo podnikala, a v Úředním věstníku Evropské unie.</w:t>
      </w:r>
    </w:p>
    <w:p>
      <w:pPr>
        <w:ind w:left="0" w:right="0"/>
      </w:pPr>
      <w:r>
        <w:rPr>
          <w:b/>
          <w:bCs/>
        </w:rPr>
        <w:t xml:space="preserve">(6)</w:t>
      </w:r>
      <w:r>
        <w:rPr/>
        <w:t xml:space="preserve"> Výtah podle odstavce 5 obsahuje označení dlužníka údaji potřebnými k jeho identifikaci, informaci o tom, že insolvenční soud podle českého práva vyhlásil moratorium nebo vydal rozhodnutí o úpadku dlužníka anebo vydání rozhodnutí o způsobu řešení úpadku dlužníka, informaci o okamžiku účinnosti příslušného rozhodnutí, účel a právní základ přijatého rozhodnutí, uvedení lhůt pro podání případných opravných prostředků včetně uvedení dne, kdy lhůty uplynou, označení sídla orgánu nebo soudu příslušného pro přijetí opravného prostředku, výzvu, aby věřitelé, kteří chtějí své pohledávky uplatnit v insolvenčním řízení, podali přihlášku pohledávky u insolvenčního soudu, včetně uvedení lhůty pro podání přihlášky a dne, kterým lhůta uplyne. Výtah je v případě vydání rozhodnutí o úpadku pořízen v českém jazyce a opatřen hlavičkou „Výzva k přihlášení pohledávky. Dodržte lhůty!“ přeloženou do všech úředních jazyků Evropské unie a dalších států tvořících Evropský hospodářský prostor. V případě vyhlášení moratoria, nebo vydání rozhodnutí o způsobu řešení úpadku, které nebylo spojeno s rozhodnutím o úpadku, je výtah pořízen v úředních jazycích dotčených států.</w:t>
      </w:r>
    </w:p>
    <w:p>
      <w:pPr>
        <w:ind w:left="0" w:right="0"/>
      </w:pPr>
      <w:r>
        <w:rPr>
          <w:b/>
          <w:bCs/>
        </w:rPr>
        <w:t xml:space="preserve">(7)</w:t>
      </w:r>
      <w:r>
        <w:rPr/>
        <w:t xml:space="preserve"> Účinky vyhlášení moratoria, rozhodnutí o úpadku nebo rozhodnutí o způsobu řešení úpadku, včetně účinků na práva a povinnosti třetích osob, nastanou bez ohledu na splnění informačních povinností podle odstavců 1 až 6 ve všech státech Evropské unie a Evropského hospodářského prostoru od okamžiku, kdy nastaly v České republice. Jestliže osoba, která má závazek vůči dlužníkovi, který je fyzickou osobou, plnila tento závazek dlužníku, přestože podle rozhodnutí o úpadku nebo podle rozhodnutí o způsobu řešení úpadku již mělo být plněno insolvenčnímu správci, a plnění se nedostalo do majetkové podstaty, není tím svého závazku zproštěna, ledaže prokáže, že jí takové rozhodnutí nebylo známo. Má se za to, že před zveřejněním výtahu takové rozhodnutí této osobě nebylo známo a že se o něm dozvěděla, jakmile byl výtah zveřejněn.</w:t>
      </w:r>
    </w:p>
    <w:p>
      <w:pPr>
        <w:ind w:left="0" w:right="0"/>
      </w:pPr>
      <w:r>
        <w:rPr>
          <w:b/>
          <w:bCs/>
        </w:rPr>
        <w:t xml:space="preserve">(8)</w:t>
      </w:r>
      <w:r>
        <w:rPr/>
        <w:t xml:space="preserve"> Insolvenční soud,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vydal rozhodnutí o úpadku a o prohlášení konkursu na majetek pobočky zahraniční banky uvedené v </w:t>
      </w:r>
      <w:r>
        <w:rPr/>
        <w:t xml:space="preserve">§ 367</w:t>
      </w:r>
      <w:r>
        <w:rPr/>
        <w:t xml:space="preserve"> odst. 1 písm. f),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vyhlásil moratorium, vydal rozhodnutí o úpadku nebo rozhodnutí o způsobu řešení úpadku, osoby se sídlem nebo místem podnikání na území České republiky nebo mimo území členských států Evropské unie a Evropského hospodářského prostoru oprávněné vydávat elektronické peníze na základě povolení podle zvláštního právního předpisu, informuje prostřednictvím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(9)</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(10)</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je-li jím banka nebo spořitelní a úvěrní družstvo anebo pobočka zahraniční banky podle </w:t>
      </w:r>
      <w:r>
        <w:rPr/>
        <w:t xml:space="preserve">§ 367</w:t>
      </w:r>
      <w:r>
        <w:rPr/>
        <w:t xml:space="preserve"> odst. 1 písm. f),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w:t>
      </w:r>
      <w:r>
        <w:rPr/>
        <w:t xml:space="preserve">§ 168</w:t>
      </w:r>
      <w:r>
        <w:rPr/>
        <w:t xml:space="preserve">), věřitele s pohledávkou na roveň postavenou pohledávce za majetkovou podstatou (</w:t>
      </w:r>
      <w:r>
        <w:rPr/>
        <w:t xml:space="preserve">§ 169</w:t>
      </w:r>
      <w:r>
        <w:rPr/>
        <w:t xml:space="preserve">), věřitele s pohledávkou s právem na uspokojení ze zajištění [</w:t>
      </w:r>
      <w:r>
        <w:rPr/>
        <w:t xml:space="preserve">§ 2</w:t>
      </w:r>
      <w:r>
        <w:rPr/>
        <w:t xml:space="preserve"> písm. f)], věřitele s pohledávkou jinak zajištěnou, věřitele s podřízenou pohledávkou (</w:t>
      </w:r>
      <w:r>
        <w:rPr/>
        <w:t xml:space="preserve">§ 172</w:t>
      </w:r>
      <w:r>
        <w:rPr/>
        <w:t xml:space="preserve">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w:t>
      </w:r>
      <w:r>
        <w:rPr/>
        <w:t xml:space="preserve">§ 168</w:t>
      </w:r>
      <w:r>
        <w:rPr/>
        <w:t xml:space="preserve">), pohledávku na roveň postavenou pohledávce za majetkovou podstatou (</w:t>
      </w:r>
      <w:r>
        <w:rPr/>
        <w:t xml:space="preserve">§ 169</w:t>
      </w:r>
      <w:r>
        <w:rPr/>
        <w:t xml:space="preserve">), pohledávku s právem na uspokojení ze zajištění [</w:t>
      </w:r>
      <w:r>
        <w:rPr/>
        <w:t xml:space="preserve">§ 2</w:t>
      </w:r>
      <w:r>
        <w:rPr/>
        <w:t xml:space="preserve"> písm. f)], pohledávku jinak zajištěnou, nebo zda jde o podřízenou pohledávku (</w:t>
      </w:r>
      <w:r>
        <w:rPr/>
        <w:t xml:space="preserve">§ 172</w:t>
      </w:r>
      <w:r>
        <w:rPr/>
        <w:t xml:space="preserve">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Přihlašování pohledávek</w:t>
      </w:r>
    </w:p>
    <w:p>
      <w:pPr>
        <w:ind w:left="0" w:right="0"/>
      </w:pPr>
      <w:r>
        <w:rPr>
          <w:b/>
          <w:bCs/>
        </w:rPr>
        <w:t xml:space="preserve">(1)</w:t>
      </w:r>
      <w:r>
        <w:rPr/>
        <w:t xml:space="preserve"> Je-li dlužníkem instituce elektronických peněz nebo osoba se sídlem nebo místem podnikání na území České republiky nebo mimo území Evropské unie nebo Evropského hospodářského prostoru oprávněná vydávat elektronické peníze na základě povolení podle zvláštního právního předpisu, zašle insolvenční správce každému ze známých věřitelů bez zbytečného odkladu, nejpozději však do 60 dnů od rozhodnutí o úpadku nebo rozhodnutí o způsobu řešení úpadku,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bylo vydáno rozhodnutí o úpadku nebo rozhodnutí o způsobu řešení úpadku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z účetnictví dlužníka vyplývá pohledávka věřitele a v jaké výši, jakého je pohledávka charakteru, především, zda jde o věřitele s pohledávkou za majetkovou podstatou (</w:t>
      </w:r>
      <w:r>
        <w:rPr/>
        <w:t xml:space="preserve">§ 168</w:t>
      </w:r>
      <w:r>
        <w:rPr/>
        <w:t xml:space="preserve">), věřitele s pohledávkou na roveň postavenou pohledávce za majetkovou podstatou (</w:t>
      </w:r>
      <w:r>
        <w:rPr/>
        <w:t xml:space="preserve">§ 169</w:t>
      </w:r>
      <w:r>
        <w:rPr/>
        <w:t xml:space="preserve">), věřitele s pohledávkou s právem na uspokojení ze zajištění [</w:t>
      </w:r>
      <w:r>
        <w:rPr/>
        <w:t xml:space="preserve">§ 2</w:t>
      </w:r>
      <w:r>
        <w:rPr/>
        <w:t xml:space="preserve"> písm. f)], věřitele s pohledávkou jinak zajištěnou, věřitele s podřízenou pohledávkou (</w:t>
      </w:r>
      <w:r>
        <w:rPr/>
        <w:t xml:space="preserve">§ 172</w:t>
      </w:r>
      <w:r>
        <w:rPr/>
        <w:t xml:space="preserve">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přihlásit pohledávku a jaké jsou následky marného uplynutí lhůty,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(2)</w:t>
      </w:r>
      <w:r>
        <w:rPr/>
        <w:t xml:space="preserve"> Věřitelům, kteří mají sídlo, ústředí, bydliště nebo místo, kde se obvykle zdržují, v členském státě Evropské unie nebo jiném státě tvořícím Evropský hospodářský prostor, zasílá správce oznámení podle odstavce 1 v českém jazyce, které je opatřeno hlavičkou „Výzva k přihlášení pohledávky. Dodržte lhůty!“ přeloženou do všech úředních jazyků Evropské unie a dalších států tvořících Evropský hospodářský prostor.</w:t>
      </w:r>
    </w:p>
    <w:p>
      <w:pPr>
        <w:ind w:left="0" w:right="0"/>
      </w:pPr>
      <w:r>
        <w:rPr>
          <w:b/>
          <w:bCs/>
        </w:rPr>
        <w:t xml:space="preserve">(3)</w:t>
      </w:r>
      <w:r>
        <w:rPr/>
        <w:t xml:space="preserve"> Věřitel doloží přihlášku pohledávky kopiemi případných listin, které osvědčují v přihlášce tvrzenou výši, den vzniku a charakter pohledávky, zejména zda jde o pohledávku za majetkovou podstatou (</w:t>
      </w:r>
      <w:r>
        <w:rPr/>
        <w:t xml:space="preserve">§ 168</w:t>
      </w:r>
      <w:r>
        <w:rPr/>
        <w:t xml:space="preserve">), pohledávku na roveň postavenou pohledávce za majetkovou podstatou (</w:t>
      </w:r>
      <w:r>
        <w:rPr/>
        <w:t xml:space="preserve">§ 169</w:t>
      </w:r>
      <w:r>
        <w:rPr/>
        <w:t xml:space="preserve">), pohledávku s právem na uspokojení ze zajištění [</w:t>
      </w:r>
      <w:r>
        <w:rPr/>
        <w:t xml:space="preserve">§ 2</w:t>
      </w:r>
      <w:r>
        <w:rPr/>
        <w:t xml:space="preserve"> písm. f)], pohledávku jinak zajištěnou, nebo zda jde o podřízenou pohledávku (</w:t>
      </w:r>
      <w:r>
        <w:rPr/>
        <w:t xml:space="preserve">§ 172</w:t>
      </w:r>
      <w:r>
        <w:rPr/>
        <w:t xml:space="preserve"> odst. 2), a uvede případnou výhradu vlastnictví.</w:t>
      </w:r>
    </w:p>
    <w:p>
      <w:pPr>
        <w:ind w:left="0" w:right="0"/>
      </w:pPr>
      <w:r>
        <w:rPr>
          <w:b/>
          <w:bCs/>
        </w:rPr>
        <w:t xml:space="preserve">(4)</w:t>
      </w:r>
      <w:r>
        <w:rPr/>
        <w:t xml:space="preserve"> Věřitel, který má sídlo, ústředí, bydliště nebo místo, kde se obvykle zdržuje, v členském státě Evropské unie nebo jiném státě tvořícím Evropský hospodářský prostor, může přihlásit pohledávku podle předchozího odstavce v úředním jazyce daného státu. Přihláška musí být opatřena hlavičkou „Přihláška pohledávky“ v českém jazyce. Insolvenční správce může požadovat, aby věřitel předložil překlad přihlášky do českého jazyka. Je-li mu obsah přihlášky zřejmý, insolvenční správce k ní přihlédne, i když není opatřena uvedenou hlavičkou. K pozdě podané přihlášce nemusí insolvenční správce přihlédnout, ledaže je zřejmé, že přihláška byla včas odevzdána orgánu, který měl povinnost ji doručit.</w:t>
      </w:r>
    </w:p>
    <w:p>
      <w:pPr>
        <w:ind w:left="0" w:right="0"/>
      </w:pPr>
      <w:r>
        <w:rPr>
          <w:b/>
          <w:bCs/>
        </w:rPr>
        <w:t xml:space="preserve">(5)</w:t>
      </w:r>
      <w:r>
        <w:rPr/>
        <w:t xml:space="preserve"> Věřiteli, který má sídlo, ústředí, bydliště nebo místo, kde se obvykle zdržuje, v členském státě Evropské unie nebo jiném státě tvořícím Evropský hospodářský prostor, se lhůta pro přihlášení pohledávky prodlužuje o 15 dní.</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instituce elektronických peněz nebo osoba se sídlem nebo místem podnikání na území České republiky oprávněná vydávat elektronické peníze na základě povolení podle zvláštního právního předpisu vykonává svou činnost, může přijmout opatření podle </w:t>
      </w:r>
      <w:r>
        <w:rPr/>
        <w:t xml:space="preserve">§ 367</w:t>
      </w:r>
      <w:r>
        <w:rPr/>
        <w:t xml:space="preserve">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nebo instituce elektronických peněz podnikající na území České republiky na základě jednotné licence a úpadek osoby se sídlem nebo místem podnikání na území jiného členského státu Evropské unie nebo jiného státu tvořícího Evropský hospodářský prostor, oprávněné vydávat elektronické peníze na základě povolení podle zvláštního právního předpisu</w:t>
      </w:r>
    </w:p>
    <w:p>
      <w:pPr>
        <w:pStyle w:val="Heading5"/>
      </w:pPr>
      <w:r>
        <w:rPr>
          <w:b/>
          <w:bCs/>
        </w:rPr>
        <w:t xml:space="preserve">§ 377</w:t>
      </w:r>
    </w:p>
    <w:p>
      <w:pPr>
        <w:ind w:left="0" w:right="0"/>
      </w:pPr>
      <w:r>
        <w:rPr/>
        <w:t xml:space="preserve">Přijmout opatření podle </w:t>
      </w:r>
      <w:r>
        <w:rPr/>
        <w:t xml:space="preserve">§ 367</w:t>
      </w:r>
      <w:r>
        <w:rPr/>
        <w:t xml:space="preserve"> odst. 2 může pouze příslušný orgán státu Evropské unie nebo jiného státu tvořícího Evropský hospodářský prostor, ve kterém zahraniční banka nebo instituce elektronických peněz obdržela oprávnění, na jehož základě vykonává svou činnost na území České republiky, nebo na jehož území má sídlo nebo místo podnikání osoba oprávněná vydávat elektronické peníze na základě povolení podle zvláštního právního předpisu.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w:t>
      </w:r>
      <w:r>
        <w:rPr/>
        <w:t xml:space="preserve">§ 380</w:t>
      </w:r>
      <w:r>
        <w:rPr/>
        <w:t xml:space="preserve">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w:t>
      </w:r>
      <w:r>
        <w:rPr/>
        <w:t xml:space="preserve">§ 168</w:t>
      </w:r>
      <w:r>
        <w:rPr/>
        <w:t xml:space="preserve">), věřitele s pohledávkou na roveň postavenou pohledávce za majetkovou podstatou (</w:t>
      </w:r>
      <w:r>
        <w:rPr/>
        <w:t xml:space="preserve">§ 169</w:t>
      </w:r>
      <w:r>
        <w:rPr/>
        <w:t xml:space="preserve">), věřitele s pohledávkou s právem na uspokojení ze zajištění [</w:t>
      </w:r>
      <w:r>
        <w:rPr/>
        <w:t xml:space="preserve">§ 2</w:t>
      </w:r>
      <w:r>
        <w:rPr/>
        <w:t xml:space="preserve"> písm. f)], věřitele s pohledávkou jinak zajištěnou, věřitele s podřízenou pohledávkou (</w:t>
      </w:r>
      <w:r>
        <w:rPr/>
        <w:t xml:space="preserve">§ 172</w:t>
      </w:r>
      <w:r>
        <w:rPr/>
        <w:t xml:space="preserve">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w:t>
      </w:r>
      <w:r>
        <w:rPr/>
        <w:t xml:space="preserve">§ 380</w:t>
      </w:r>
      <w:r>
        <w:rPr/>
        <w:t xml:space="preserve"> odst. 1 písm. a) nebo b) ke dni prohlášení konkursu na tuto osobu. K námitce doloží úředně ověřené kopie případných listin, které osvědčují v námitce tvrzenou výši, den vzniku a charakter pohledávky, zejména zda jde o pohledávku za majetkovou podstatou (</w:t>
      </w:r>
      <w:r>
        <w:rPr/>
        <w:t xml:space="preserve">§ 168</w:t>
      </w:r>
      <w:r>
        <w:rPr/>
        <w:t xml:space="preserve">), pohledávku na roveň postavenou pohledávce za majetkovou podstatou (</w:t>
      </w:r>
      <w:r>
        <w:rPr/>
        <w:t xml:space="preserve">§ 169</w:t>
      </w:r>
      <w:r>
        <w:rPr/>
        <w:t xml:space="preserve">), pohledávku s právem na uspokojení ze zajištění [</w:t>
      </w:r>
      <w:r>
        <w:rPr/>
        <w:t xml:space="preserve">§ 2</w:t>
      </w:r>
      <w:r>
        <w:rPr/>
        <w:t xml:space="preserve"> písm. f)], pohledávku jinak zajištěnou nebo zda jde o podřízenou pohledávku (</w:t>
      </w:r>
      <w:r>
        <w:rPr/>
        <w:t xml:space="preserve">§ 172</w:t>
      </w:r>
      <w:r>
        <w:rPr/>
        <w:t xml:space="preserve"> odst. 2), a uvede případnou výhradu vlastnictví. Jde-li o pohledávku podle </w:t>
      </w:r>
      <w:r>
        <w:rPr/>
        <w:t xml:space="preserve">§ 387</w:t>
      </w:r>
      <w:r>
        <w:rPr/>
        <w:t xml:space="preserve">,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0" w:right="0"/>
      </w:pPr>
      <w:r>
        <w:rPr>
          <w:b/>
          <w:bCs/>
        </w:rPr>
        <w:t xml:space="preserve">(2)</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mezi nezajištěné věřitele podle poměru jejich pohledávek způsobem určeným v rozhodnutí insolvenčního soudu o schválení oddlužení. Zajištění věřitelé se uspokojí z výtěžku zpeněžení zajištění; při tomto zpeněžení se postupuje obdobně podle ustanovení o zpeněžení zajištění v konkursu.</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w:t>
      </w:r>
      <w:r>
        <w:rPr/>
        <w:t xml:space="preserve">§ 49</w:t>
      </w:r>
      <w:r>
        <w:rPr/>
        <w:t xml:space="preserve"> až 53. K projednání způsobu oddlužení a hlasování o jeho přijetí dochází na schůzi věřitelů za tím účelem svolané nebo za podmínek stanovených tímto zákonem mimo schůzi věřitelů.</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 jestliže se bez omluvy nedostaví nebo neshledá-li insolvenční soud jeho omluvu důvodnou, má se za to, že vzal návrh na oddlužení zpět.</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Jestliže ani jeden ze způsobů oddlužení nezíská prostou většinu hlasů nezajištěných věřitelů podle odstavce 2, rozhodne o způsobu oddlužení insolvenční soud; učiní tak do skončení schůze věřitelů a v případě uvedeném v </w:t>
      </w:r>
      <w:r>
        <w:rPr/>
        <w:t xml:space="preserve">§ 399</w:t>
      </w:r>
      <w:r>
        <w:rPr/>
        <w:t xml:space="preserve">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w:t>
      </w:r>
      <w:r>
        <w:rPr/>
        <w:t xml:space="preserve">§ 402</w:t>
      </w:r>
      <w:r>
        <w:rPr/>
        <w:t xml:space="preserve"> odst. 4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 a rozhodne o jeho dosavadní odměně a náhradě hotových výdajů a o tom, jak budou uspokojeny,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od platil nezajištěným věřitelům vždy ke každému 1. dni v měsíci z příjmů, které získá po schválení oddlužení, částku ve stejném rozsahu, v jakém z nich mohou být při výkonu rozhodnutí nebo při exekuci uspokojeny přednostní pohledávky</w:t>
      </w:r>
      <w:r>
        <w:rPr>
          <w:vertAlign w:val="superscript"/>
        </w:rPr>
        <w:t xml:space="preserve">29</w:t>
      </w:r>
      <w:r>
        <w:rPr/>
        <w:t xml:space="preserve">),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 dlužníka, a uvede způsob výpočtu částky, která z těchto příjmů zůstane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w:t>
      </w:r>
      <w:r>
        <w:rPr/>
        <w:t xml:space="preserve">§ 403</w:t>
      </w:r>
      <w:r>
        <w:rPr/>
        <w:t xml:space="preserve"> odst. 2 insolvenční soud nevyhověl.</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plánu oddlužení obdobně </w:t>
      </w:r>
      <w:r>
        <w:rPr/>
        <w:t xml:space="preserve">§ 190</w:t>
      </w:r>
      <w:r>
        <w:rPr/>
        <w:t xml:space="preserve"> až 202.</w:t>
      </w:r>
    </w:p>
    <w:p>
      <w:pPr>
        <w:ind w:left="0" w:right="0"/>
      </w:pPr>
      <w:r>
        <w:rPr>
          <w:b/>
          <w:bCs/>
        </w:rPr>
        <w:t xml:space="preserve">(2)</w:t>
      </w:r>
      <w:r>
        <w:rPr/>
        <w:t xml:space="preserve"> Popření pohledávky nezajištěného věřitele dlužníkem má za trvání účinků schválení oddlužení plněním splátkového kalendáře tytéž účinky jako popření pohledávky insolvenčním správcem. Jestliže dlužník popřel pohledávku při přezkumném jednání, které se konalo před schválením oddlužení, nastávají účinky tohoto popření dnem, kdy nastaly účinky oddlužení plněním splátkového kalendáře; tento den je rozhodný i pro počátek běhu lhůt k podání žaloby o určení pravosti, výše nebo pořadí pohledávky.</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ind w:left="0" w:right="0"/>
      </w:pPr>
      <w:r>
        <w:rPr>
          <w:b/>
          <w:bCs/>
        </w:rPr>
        <w:t xml:space="preserve">(5)</w:t>
      </w:r>
      <w:r>
        <w:rPr/>
        <w:t xml:space="preserve"> Ministerstvo nebo insolvenční soud jsou oprávněny za vydání úředně ověřeného výstupu požadovat po žadateli úhradu ve výši nákladů spojených s vydáním ověřeného výstupu.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Je-li pravomocně ukončeno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písemného podání, kterým se popírá pohledávka v reorganizaci, náležitosti zprávy o reorganizačním plánu a formuláře návrhu na povolení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náležitosti seznamu insolvenčních správců a údajů do něj zapisovaných, způsob jeho členění a vedení a podmínky zápisu do seznamu insolvenčních správců a vyškrtnutí z něj,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t xml:space="preserve">Pro konkursní a vyrovnací řízení zahájená před účinností tohoto zákona se použijí dosavadní právní předpisy.</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122/1993 Sb.</w:t>
        </w:r>
      </w:hyperlink>
      <w:r>
        <w:rPr/>
        <w:t xml:space="preserve">, kterým se mění a doplňuje zákon č. </w:t>
      </w:r>
      <w:hyperlink r:id="rId13"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12/1998 Sb.</w:t>
        </w:r>
      </w:hyperlink>
      <w:r>
        <w:rPr/>
        <w:t xml:space="preserve">, kterým se mění a doplňuje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214/2000 Sb.</w:t>
        </w:r>
      </w:hyperlink>
      <w:r>
        <w:rPr/>
        <w:t xml:space="preserve">, kterým se mění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7" w:history="1">
        <w:r>
          <w:rPr>
            <w:color w:val="darkblue"/>
            <w:u w:val="single"/>
          </w:rPr>
          <w:t xml:space="preserve">368/2000 Sb.</w:t>
        </w:r>
      </w:hyperlink>
      <w:r>
        <w:rPr/>
        <w:t xml:space="preserve">, kterým se mění zákon č. </w:t>
      </w:r>
      <w:hyperlink r:id="rId18" w:history="1">
        <w:r>
          <w:rPr>
            <w:color w:val="darkblue"/>
            <w:u w:val="single"/>
          </w:rPr>
          <w:t xml:space="preserve">530/1990 Sb.</w:t>
        </w:r>
      </w:hyperlink>
      <w:r>
        <w:rPr/>
        <w:t xml:space="preserve">, o dluhopisech, ve znění pozdějších předpisů, a zákon č. </w:t>
      </w:r>
      <w:hyperlink r:id="rId13"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19"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července 2007.</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0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0" w:history="1">
        <w:r>
          <w:rPr>
            <w:color w:val="darkblue"/>
            <w:u w:val="single"/>
          </w:rPr>
          <w:t xml:space="preserve">124/2002 Sb.</w:t>
        </w:r>
      </w:hyperlink>
      <w:r>
        <w:rPr>
          <w:sz w:val="19.200000000000003"/>
          <w:szCs w:val="19.200000000000003"/>
        </w:rPr>
        <w:t xml:space="preserve">, o převodech peněžních prostředků, elektronických platebních prostředcích a platebních systémech (zákon o platebním styku), ve znění zákona č. </w:t>
      </w:r>
      <w:hyperlink r:id="rId21" w:history="1">
        <w:r>
          <w:rPr>
            <w:color w:val="darkblue"/>
            <w:u w:val="single"/>
          </w:rPr>
          <w:t xml:space="preserve">257/2004 Sb.</w:t>
        </w:r>
      </w:hyperlink>
      <w:r>
        <w:rPr>
          <w:sz w:val="19.200000000000003"/>
          <w:szCs w:val="19.200000000000003"/>
        </w:rPr>
        <w:t xml:space="preserve"> a zákona č. </w:t>
      </w:r>
      <w:hyperlink r:id="rId22" w:history="1">
        <w:r>
          <w:rPr>
            <w:color w:val="darkblue"/>
            <w:u w:val="single"/>
          </w:rPr>
          <w:t xml:space="preserve">377/2005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3" w:history="1">
        <w:r>
          <w:rPr>
            <w:color w:val="darkblue"/>
            <w:u w:val="single"/>
          </w:rPr>
          <w:t xml:space="preserve">1/1993 Sb.</w:t>
        </w:r>
      </w:hyperlink>
      <w:r>
        <w:rPr>
          <w:sz w:val="19.200000000000003"/>
          <w:szCs w:val="19.200000000000003"/>
        </w:rPr>
        <w:t xml:space="preserve">, Ústava České republiky, ve znění ústavního zákona č. </w:t>
      </w:r>
      <w:hyperlink r:id="rId24"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1"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3"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hyperlink r:id="rId35" w:history="1">
        <w:r>
          <w:rPr>
            <w:color w:val="darkblue"/>
            <w:u w:val="single"/>
          </w:rPr>
          <w:t xml:space="preserve">§ 9</w:t>
        </w:r>
      </w:hyperlink>
      <w:r>
        <w:rPr>
          <w:sz w:val="19.200000000000003"/>
          <w:szCs w:val="19.200000000000003"/>
        </w:rPr>
        <w:t xml:space="preserve"> odst. 3 a </w:t>
      </w:r>
      <w:hyperlink r:id="rId36" w:history="1">
        <w:r>
          <w:rPr>
            <w:color w:val="darkblue"/>
            <w:u w:val="single"/>
          </w:rPr>
          <w:t xml:space="preserve">§ 27</w:t>
        </w:r>
      </w:hyperlink>
      <w:r>
        <w:rPr>
          <w:sz w:val="19.200000000000003"/>
          <w:szCs w:val="19.200000000000003"/>
        </w:rPr>
        <w:t xml:space="preserve"> odst. 3 až 5 zákona č. </w:t>
      </w:r>
      <w:hyperlink r:id="rId37" w:history="1">
        <w:r>
          <w:rPr>
            <w:color w:val="darkblue"/>
            <w:u w:val="single"/>
          </w:rPr>
          <w:t xml:space="preserve">65/1965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38" w:history="1">
        <w:r>
          <w:rPr>
            <w:color w:val="darkblue"/>
            <w:u w:val="single"/>
          </w:rPr>
          <w:t xml:space="preserve">§ 35</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9"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2"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3"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4"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5" w:history="1">
        <w:r>
          <w:rPr>
            <w:color w:val="darkblue"/>
            <w:u w:val="single"/>
          </w:rPr>
          <w:t xml:space="preserve">§ 6</w:t>
        </w:r>
      </w:hyperlink>
      <w:r>
        <w:rPr>
          <w:sz w:val="19.200000000000003"/>
          <w:szCs w:val="19.200000000000003"/>
        </w:rPr>
        <w:t xml:space="preserve"> odst. 1 zákona č. </w:t>
      </w:r>
      <w:hyperlink r:id="rId4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7" w:history="1">
        <w:r>
          <w:rPr>
            <w:color w:val="darkblue"/>
            <w:u w:val="single"/>
          </w:rPr>
          <w:t xml:space="preserve">§ 29</w:t>
        </w:r>
      </w:hyperlink>
      <w:r>
        <w:rPr>
          <w:sz w:val="19.200000000000003"/>
          <w:szCs w:val="19.200000000000003"/>
        </w:rPr>
        <w:t xml:space="preserve"> vyhlášky č. </w:t>
      </w:r>
      <w:hyperlink r:id="rId48"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9"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0"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1"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2" w:history="1">
        <w:r>
          <w:rPr>
            <w:color w:val="darkblue"/>
            <w:u w:val="single"/>
          </w:rPr>
          <w:t xml:space="preserve">§ 321</w:t>
        </w:r>
      </w:hyperlink>
      <w:r>
        <w:rPr>
          <w:sz w:val="19.200000000000003"/>
          <w:szCs w:val="19.200000000000003"/>
        </w:rPr>
        <w:t xml:space="preserve">, </w:t>
      </w:r>
      <w:hyperlink r:id="rId53"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4"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5" w:history="1">
        <w:r>
          <w:rPr>
            <w:color w:val="darkblue"/>
            <w:u w:val="single"/>
          </w:rPr>
          <w:t xml:space="preserve">§ 31</w:t>
        </w:r>
      </w:hyperlink>
      <w:r>
        <w:rPr>
          <w:sz w:val="19.200000000000003"/>
          <w:szCs w:val="19.200000000000003"/>
        </w:rPr>
        <w:t xml:space="preserve"> odst. 6 a </w:t>
      </w:r>
      <w:hyperlink r:id="rId56" w:history="1">
        <w:r>
          <w:rPr>
            <w:color w:val="darkblue"/>
            <w:u w:val="single"/>
          </w:rPr>
          <w:t xml:space="preserve">§ 37a</w:t>
        </w:r>
      </w:hyperlink>
      <w:r>
        <w:rPr>
          <w:sz w:val="19.200000000000003"/>
          <w:szCs w:val="19.200000000000003"/>
        </w:rPr>
        <w:t xml:space="preserve"> zákona č. </w:t>
      </w:r>
      <w:hyperlink r:id="rId57"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9"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0" w:history="1">
        <w:r>
          <w:rPr>
            <w:color w:val="darkblue"/>
            <w:u w:val="single"/>
          </w:rPr>
          <w:t xml:space="preserve">§ 2</w:t>
        </w:r>
      </w:hyperlink>
      <w:r>
        <w:rPr>
          <w:sz w:val="19.200000000000003"/>
          <w:szCs w:val="19.200000000000003"/>
        </w:rPr>
        <w:t xml:space="preserve"> zákona č. </w:t>
      </w:r>
      <w:hyperlink r:id="rId6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2"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3" w:history="1">
        <w:r>
          <w:rPr>
            <w:color w:val="darkblue"/>
            <w:u w:val="single"/>
          </w:rPr>
          <w:t xml:space="preserve">§ 7b</w:t>
        </w:r>
      </w:hyperlink>
      <w:r>
        <w:rPr>
          <w:sz w:val="19.200000000000003"/>
          <w:szCs w:val="19.200000000000003"/>
        </w:rPr>
        <w:t xml:space="preserve"> odst. 1 písm. e) a f) zákona č. </w:t>
      </w:r>
      <w:hyperlink r:id="rId64"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5" w:history="1">
        <w:r>
          <w:rPr>
            <w:color w:val="darkblue"/>
            <w:u w:val="single"/>
          </w:rPr>
          <w:t xml:space="preserve">§ 8</w:t>
        </w:r>
      </w:hyperlink>
      <w:r>
        <w:rPr>
          <w:sz w:val="19.200000000000003"/>
          <w:szCs w:val="19.200000000000003"/>
        </w:rPr>
        <w:t xml:space="preserve"> zákona č. </w:t>
      </w:r>
      <w:hyperlink r:id="rId6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7"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8"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9"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0"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2" w:history="1">
        <w:r>
          <w:rPr>
            <w:color w:val="darkblue"/>
            <w:u w:val="single"/>
          </w:rPr>
          <w:t xml:space="preserve">§ 8</w:t>
        </w:r>
      </w:hyperlink>
      <w:r>
        <w:rPr>
          <w:sz w:val="19.200000000000003"/>
          <w:szCs w:val="19.200000000000003"/>
        </w:rPr>
        <w:t xml:space="preserve"> zákona č. </w:t>
      </w:r>
      <w:hyperlink r:id="rId73" w:history="1">
        <w:r>
          <w:rPr>
            <w:color w:val="darkblue"/>
            <w:u w:val="single"/>
          </w:rPr>
          <w:t xml:space="preserve">114/1995 Sb.</w:t>
        </w:r>
      </w:hyperlink>
      <w:r>
        <w:rPr>
          <w:sz w:val="19.200000000000003"/>
          <w:szCs w:val="19.200000000000003"/>
        </w:rPr>
        <w:t xml:space="preserve">, o vnitrozemské plavbě.</w:t>
      </w:r>
    </w:p>
    <w:p>
      <w:pPr>
        <w:ind w:left="560" w:right="0"/>
      </w:pPr>
      <w:hyperlink r:id="rId74" w:history="1">
        <w:r>
          <w:rPr>
            <w:color w:val="darkblue"/>
            <w:u w:val="single"/>
          </w:rPr>
          <w:t xml:space="preserve">§ 28</w:t>
        </w:r>
      </w:hyperlink>
      <w:r>
        <w:rPr>
          <w:sz w:val="19.200000000000003"/>
          <w:szCs w:val="19.200000000000003"/>
        </w:rPr>
        <w:t xml:space="preserve"> vyhlášky č. </w:t>
      </w:r>
      <w:hyperlink r:id="rId75"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6" w:history="1">
        <w:r>
          <w:rPr>
            <w:color w:val="darkblue"/>
            <w:u w:val="single"/>
          </w:rPr>
          <w:t xml:space="preserve">§ 22</w:t>
        </w:r>
      </w:hyperlink>
      <w:r>
        <w:rPr>
          <w:sz w:val="19.200000000000003"/>
          <w:szCs w:val="19.200000000000003"/>
        </w:rPr>
        <w:t xml:space="preserve">, </w:t>
      </w:r>
      <w:hyperlink r:id="rId10" w:history="1">
        <w:r>
          <w:rPr>
            <w:color w:val="darkblue"/>
            <w:u w:val="single"/>
          </w:rPr>
          <w:t xml:space="preserve">§ 23</w:t>
        </w:r>
      </w:hyperlink>
      <w:r>
        <w:rPr>
          <w:sz w:val="19.200000000000003"/>
          <w:szCs w:val="19.200000000000003"/>
        </w:rPr>
        <w:t xml:space="preserve"> odst. 1 a 3 a </w:t>
      </w:r>
      <w:hyperlink r:id="rId77" w:history="1">
        <w:r>
          <w:rPr>
            <w:color w:val="darkblue"/>
            <w:u w:val="single"/>
          </w:rPr>
          <w:t xml:space="preserve">§ 27</w:t>
        </w:r>
      </w:hyperlink>
      <w:r>
        <w:rPr>
          <w:sz w:val="19.200000000000003"/>
          <w:szCs w:val="19.200000000000003"/>
        </w:rPr>
        <w:t xml:space="preserve"> zákona č. </w:t>
      </w:r>
      <w:hyperlink r:id="rId12"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0" w:history="1">
        <w:r>
          <w:rPr>
            <w:color w:val="darkblue"/>
            <w:u w:val="single"/>
          </w:rPr>
          <w:t xml:space="preserve">§ 23</w:t>
        </w:r>
      </w:hyperlink>
      <w:r>
        <w:rPr>
          <w:sz w:val="19.200000000000003"/>
          <w:szCs w:val="19.200000000000003"/>
        </w:rPr>
        <w:t xml:space="preserve"> až 28 zákona č. </w:t>
      </w:r>
      <w:hyperlink r:id="rId12"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6" w:history="1">
        <w:r>
          <w:rPr>
            <w:color w:val="darkblue"/>
            <w:u w:val="single"/>
          </w:rPr>
          <w:t xml:space="preserve">§ 22</w:t>
        </w:r>
      </w:hyperlink>
      <w:r>
        <w:rPr>
          <w:sz w:val="19.200000000000003"/>
          <w:szCs w:val="19.200000000000003"/>
        </w:rPr>
        <w:t xml:space="preserve"> zákona č. </w:t>
      </w:r>
      <w:hyperlink r:id="rId12"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2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2" w:history="1">
        <w:r>
          <w:rPr>
            <w:color w:val="darkblue"/>
            <w:u w:val="single"/>
          </w:rPr>
          <w:t xml:space="preserve">§ 29</w:t>
        </w:r>
      </w:hyperlink>
      <w:r>
        <w:rPr>
          <w:sz w:val="19.200000000000003"/>
          <w:szCs w:val="19.200000000000003"/>
        </w:rPr>
        <w:t xml:space="preserve"> odst. 4 písm. b) a odst. 5 zákona č. </w:t>
      </w:r>
      <w:hyperlink r:id="rId2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83" w:history="1">
        <w:r>
          <w:rPr>
            <w:color w:val="darkblue"/>
            <w:u w:val="single"/>
          </w:rPr>
          <w:t xml:space="preserve">§ 197</w:t>
        </w:r>
      </w:hyperlink>
      <w:r>
        <w:rPr>
          <w:sz w:val="19.200000000000003"/>
          <w:szCs w:val="19.200000000000003"/>
        </w:rPr>
        <w:t xml:space="preserve"> zákona č. </w:t>
      </w:r>
      <w:hyperlink r:id="rId41"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4"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5" w:history="1">
        <w:r>
          <w:rPr>
            <w:color w:val="darkblue"/>
            <w:u w:val="single"/>
          </w:rPr>
          <w:t xml:space="preserve">§ 5a</w:t>
        </w:r>
      </w:hyperlink>
      <w:r>
        <w:rPr>
          <w:sz w:val="19.200000000000003"/>
          <w:szCs w:val="19.200000000000003"/>
        </w:rPr>
        <w:t xml:space="preserve"> až 7a zákona č. </w:t>
      </w:r>
      <w:hyperlink r:id="rId86"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7"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8"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9" w:history="1">
        <w:r>
          <w:rPr>
            <w:color w:val="darkblue"/>
            <w:u w:val="single"/>
          </w:rPr>
          <w:t xml:space="preserve">§ 5c</w:t>
        </w:r>
      </w:hyperlink>
      <w:r>
        <w:rPr>
          <w:sz w:val="19.200000000000003"/>
          <w:szCs w:val="19.200000000000003"/>
        </w:rPr>
        <w:t xml:space="preserve"> zákona č. </w:t>
      </w:r>
      <w:hyperlink r:id="rId90"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1"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2" w:history="1">
        <w:r>
          <w:rPr>
            <w:color w:val="darkblue"/>
            <w:u w:val="single"/>
          </w:rPr>
          <w:t xml:space="preserve">§ 5a</w:t>
        </w:r>
      </w:hyperlink>
      <w:r>
        <w:rPr>
          <w:sz w:val="19.200000000000003"/>
          <w:szCs w:val="19.200000000000003"/>
        </w:rPr>
        <w:t xml:space="preserve"> odst. 1 zákona č. </w:t>
      </w:r>
      <w:hyperlink r:id="rId90" w:history="1">
        <w:r>
          <w:rPr>
            <w:color w:val="darkblue"/>
            <w:u w:val="single"/>
          </w:rPr>
          <w:t xml:space="preserve">363/1999 Sb.</w:t>
        </w:r>
      </w:hyperlink>
      <w:r>
        <w:rPr>
          <w:sz w:val="19.200000000000003"/>
          <w:szCs w:val="19.200000000000003"/>
        </w:rPr>
        <w:t xml:space="preserve">, ve znění zákona č. </w:t>
      </w:r>
      <w:hyperlink r:id="rId91"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0"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3"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4" w:history="1">
        <w:r>
          <w:rPr>
            <w:color w:val="darkblue"/>
            <w:u w:val="single"/>
          </w:rPr>
          <w:t xml:space="preserve">(ES) č. 1346/2000</w:t>
        </w:r>
      </w:hyperlink>
      <w:r>
        <w:rPr>
          <w:sz w:val="19.200000000000003"/>
          <w:szCs w:val="19.200000000000003"/>
        </w:rPr>
        <w:t xml:space="preserve"> ze dne 29. května 2000 o úpadkovém řízení.</w:t>
      </w:r>
    </w:p>
    <w:sectPr>
      <w:headerReference w:type="default" r:id="rId95"/>
      <w:footerReference w:type="default" r:id="rId9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AZ&amp;CP=1963s099-2007s296#C04_H01_P219A" TargetMode="External"/><Relationship Id="rId9" Type="http://schemas.openxmlformats.org/officeDocument/2006/relationships/hyperlink" Target="https://esipa.cz/sbirka/sbsrv.dll/sb?DR=AZ&amp;CP=1964s040-2007s296#C08_H07_OD04_P711" TargetMode="External"/><Relationship Id="rId10" Type="http://schemas.openxmlformats.org/officeDocument/2006/relationships/hyperlink" Target="https://esipa.cz/sbirka/sbsrv.dll/sb?DR=AZ&amp;CP=1994s072-2007s296#C06_P023" TargetMode="External"/><Relationship Id="rId11" Type="http://schemas.openxmlformats.org/officeDocument/2006/relationships/hyperlink" Target="https://esipa.cz/sbirka/sbsrv.dll/sb?DR=AZ&amp;CP=1994s072-2007s296#C06_P024" TargetMode="External"/><Relationship Id="rId12" Type="http://schemas.openxmlformats.org/officeDocument/2006/relationships/hyperlink" Target="https://esipa.cz/sbirka/sbsrv.dll/sb?DR=SB&amp;CP=1994s072" TargetMode="External"/><Relationship Id="rId13" Type="http://schemas.openxmlformats.org/officeDocument/2006/relationships/hyperlink" Target="https://esipa.cz/sbirka/sbsrv.dll/sb?DR=SB&amp;CP=1991s328" TargetMode="External"/><Relationship Id="rId14" Type="http://schemas.openxmlformats.org/officeDocument/2006/relationships/hyperlink" Target="https://esipa.cz/sbirka/sbsrv.dll/sb?DR=SB&amp;CP=1993s122" TargetMode="External"/><Relationship Id="rId15" Type="http://schemas.openxmlformats.org/officeDocument/2006/relationships/hyperlink" Target="https://esipa.cz/sbirka/sbsrv.dll/sb?DR=SB&amp;CP=1998s012" TargetMode="External"/><Relationship Id="rId16" Type="http://schemas.openxmlformats.org/officeDocument/2006/relationships/hyperlink" Target="https://esipa.cz/sbirka/sbsrv.dll/sb?DR=SB&amp;CP=2000s214" TargetMode="External"/><Relationship Id="rId17" Type="http://schemas.openxmlformats.org/officeDocument/2006/relationships/hyperlink" Target="https://esipa.cz/sbirka/sbsrv.dll/sb?DR=SB&amp;CP=2000s368" TargetMode="External"/><Relationship Id="rId18" Type="http://schemas.openxmlformats.org/officeDocument/2006/relationships/hyperlink" Target="https://esipa.cz/sbirka/sbsrv.dll/sb?DR=SB&amp;CP=1990s530" TargetMode="External"/><Relationship Id="rId19" Type="http://schemas.openxmlformats.org/officeDocument/2006/relationships/hyperlink" Target="https://esipa.cz/sbirka/sbsrv.dll/sb?DR=SB&amp;CP=1991s476" TargetMode="External"/><Relationship Id="rId20" Type="http://schemas.openxmlformats.org/officeDocument/2006/relationships/hyperlink" Target="https://esipa.cz/sbirka/sbsrv.dll/sb?DR=SB&amp;CP=2002s124" TargetMode="External"/><Relationship Id="rId21" Type="http://schemas.openxmlformats.org/officeDocument/2006/relationships/hyperlink" Target="https://esipa.cz/sbirka/sbsrv.dll/sb?DR=SB&amp;CP=2004s257" TargetMode="External"/><Relationship Id="rId22" Type="http://schemas.openxmlformats.org/officeDocument/2006/relationships/hyperlink" Target="https://esipa.cz/sbirka/sbsrv.dll/sb?DR=SB&amp;CP=2005s377" TargetMode="External"/><Relationship Id="rId23" Type="http://schemas.openxmlformats.org/officeDocument/2006/relationships/hyperlink" Target="https://esipa.cz/sbirka/sbsrv.dll/sb?DR=SB&amp;CP=1993s001" TargetMode="External"/><Relationship Id="rId24" Type="http://schemas.openxmlformats.org/officeDocument/2006/relationships/hyperlink" Target="https://esipa.cz/sbirka/sbsrv.dll/sb?DR=SB&amp;CP=1997s347"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4s235" TargetMode="External"/><Relationship Id="rId32" Type="http://schemas.openxmlformats.org/officeDocument/2006/relationships/hyperlink" Target="https://esipa.cz/sbirka/sbsrv.dll/sb?DR=SB&amp;CP=2000s458" TargetMode="External"/><Relationship Id="rId33" Type="http://schemas.openxmlformats.org/officeDocument/2006/relationships/hyperlink" Target="https://esipa.cz/sbirka/sbsrv.dll/sb?DR=AZ&amp;CP=1964s040-2007s296#C02_H02_P137" TargetMode="External"/><Relationship Id="rId34" Type="http://schemas.openxmlformats.org/officeDocument/2006/relationships/hyperlink" Target="https://esipa.cz/sbirka/sbsrv.dll/sb?DR=SB&amp;CP=1992s586" TargetMode="External"/><Relationship Id="rId35" Type="http://schemas.openxmlformats.org/officeDocument/2006/relationships/hyperlink" Target="https://esipa.cz/sbirka/sbsrv.dll/sb?DR=AZ&amp;CP=1965s065-2006s308#C01_H02_P009" TargetMode="External"/><Relationship Id="rId36" Type="http://schemas.openxmlformats.org/officeDocument/2006/relationships/hyperlink" Target="https://esipa.cz/sbirka/sbsrv.dll/sb?DR=AZ&amp;CP=1965s065-2006s308#C02_H01_P027" TargetMode="External"/><Relationship Id="rId37" Type="http://schemas.openxmlformats.org/officeDocument/2006/relationships/hyperlink" Target="https://esipa.cz/sbirka/sbsrv.dll/sb?DR=SB&amp;CP=1965s065" TargetMode="External"/><Relationship Id="rId38" Type="http://schemas.openxmlformats.org/officeDocument/2006/relationships/hyperlink" Target="https://esipa.cz/sbirka/sbsrv.dll/sb?DR=AZ&amp;CP=1963s099-2007s296#C01_H03_P035" TargetMode="External"/><Relationship Id="rId39" Type="http://schemas.openxmlformats.org/officeDocument/2006/relationships/hyperlink" Target="https://esipa.cz/sbirka/sbsrv.dll/sb?DR=AZ&amp;CP=1991s513-2007s296#C01_H03_P038I"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AZ&amp;CP=1963s099-2007s296#C02_H02_P076" TargetMode="External"/><Relationship Id="rId43" Type="http://schemas.openxmlformats.org/officeDocument/2006/relationships/hyperlink" Target="https://esipa.cz/sbirka/sbsrv.dll/sb?DR=AZ&amp;CP=1963s099-2007s296#C01_H04_P042" TargetMode="External"/><Relationship Id="rId44" Type="http://schemas.openxmlformats.org/officeDocument/2006/relationships/hyperlink" Target="https://esipa.cz/sbirka/sbsrv.dll/sb?DR=AZ&amp;CP=1991s513-2007s296#C02_H01_D01_P066A" TargetMode="External"/><Relationship Id="rId45" Type="http://schemas.openxmlformats.org/officeDocument/2006/relationships/hyperlink" Target="https://esipa.cz/sbirka/sbsrv.dll/sb?DR=AZ&amp;CP=1988s061-2007s296#C02_OD02_P006" TargetMode="External"/><Relationship Id="rId46" Type="http://schemas.openxmlformats.org/officeDocument/2006/relationships/hyperlink" Target="https://esipa.cz/sbirka/sbsrv.dll/sb?DR=SB&amp;CP=1988s061" TargetMode="External"/><Relationship Id="rId47" Type="http://schemas.openxmlformats.org/officeDocument/2006/relationships/hyperlink" Target="https://esipa.cz/sbirka/sbsrv.dll/sb?DR=AZ&amp;CP=1967s037-2002s432#C04_P029" TargetMode="External"/><Relationship Id="rId48" Type="http://schemas.openxmlformats.org/officeDocument/2006/relationships/hyperlink" Target="https://esipa.cz/sbirka/sbsrv.dll/sb?DR=SB&amp;CP=1967s037" TargetMode="External"/><Relationship Id="rId49" Type="http://schemas.openxmlformats.org/officeDocument/2006/relationships/hyperlink" Target="https://esipa.cz/sbirka/sbsrv.dll/sb?DR=SB&amp;CP=1993s077" TargetMode="External"/><Relationship Id="rId50" Type="http://schemas.openxmlformats.org/officeDocument/2006/relationships/hyperlink" Target="https://esipa.cz/sbirka/sbsrv.dll/sb?DR=AZ&amp;CP=1963s099-2007s296#C03_H01_P079" TargetMode="External"/><Relationship Id="rId51" Type="http://schemas.openxmlformats.org/officeDocument/2006/relationships/hyperlink" Target="https://esipa.cz/sbirka/sbsrv.dll/sb?DR=SB&amp;CP=2004s190" TargetMode="External"/><Relationship Id="rId52" Type="http://schemas.openxmlformats.org/officeDocument/2006/relationships/hyperlink" Target="https://esipa.cz/sbirka/sbsrv.dll/sb?DR=AZ&amp;CP=1963s099-2007s296#C06_H05_P321" TargetMode="External"/><Relationship Id="rId53" Type="http://schemas.openxmlformats.org/officeDocument/2006/relationships/hyperlink" Target="https://esipa.cz/sbirka/sbsrv.dll/sb?DR=AZ&amp;CP=1963s099-2007s296#C06_H05_P322" TargetMode="External"/><Relationship Id="rId54" Type="http://schemas.openxmlformats.org/officeDocument/2006/relationships/hyperlink" Target="https://esipa.cz/sbirka/sbsrv.dll/sb?DR=AZ&amp;CP=1963s099-2007s296#C06_H02_P279" TargetMode="External"/><Relationship Id="rId55" Type="http://schemas.openxmlformats.org/officeDocument/2006/relationships/hyperlink" Target="https://esipa.cz/sbirka/sbsrv.dll/sb?DR=AZ&amp;CP=1988s044-2007s296#C07_P031" TargetMode="External"/><Relationship Id="rId56" Type="http://schemas.openxmlformats.org/officeDocument/2006/relationships/hyperlink" Target="https://esipa.cz/sbirka/sbsrv.dll/sb?DR=AZ&amp;CP=1988s044-2007s296#C09_P037A" TargetMode="External"/><Relationship Id="rId57" Type="http://schemas.openxmlformats.org/officeDocument/2006/relationships/hyperlink" Target="https://esipa.cz/sbirka/sbsrv.dll/sb?DR=SB&amp;CP=1988s044" TargetMode="External"/><Relationship Id="rId58" Type="http://schemas.openxmlformats.org/officeDocument/2006/relationships/hyperlink" Target="https://esipa.cz/sbirka/sbsrv.dll/sb?DR=SB&amp;CP=2000s219" TargetMode="External"/><Relationship Id="rId59" Type="http://schemas.openxmlformats.org/officeDocument/2006/relationships/hyperlink" Target="https://esipa.cz/sbirka/sbsrv.dll/sb?DR=AZ&amp;CP=1991s513-2007s296#C01_H01_D02_P005" TargetMode="External"/><Relationship Id="rId60" Type="http://schemas.openxmlformats.org/officeDocument/2006/relationships/hyperlink" Target="https://esipa.cz/sbirka/sbsrv.dll/sb?DR=AZ&amp;CP=1987s020-2007s158#C01_P002" TargetMode="External"/><Relationship Id="rId61" Type="http://schemas.openxmlformats.org/officeDocument/2006/relationships/hyperlink" Target="https://esipa.cz/sbirka/sbsrv.dll/sb?DR=SB&amp;CP=1987s020" TargetMode="External"/><Relationship Id="rId62" Type="http://schemas.openxmlformats.org/officeDocument/2006/relationships/hyperlink" Target="https://esipa.cz/sbirka/sbsrv.dll/sb?DR=AZ&amp;CP=1991s513-2007s296#C02_H01_D01_P058" TargetMode="External"/><Relationship Id="rId63" Type="http://schemas.openxmlformats.org/officeDocument/2006/relationships/hyperlink" Target="https://esipa.cz/sbirka/sbsrv.dll/sb?DR=AZ&amp;CP=1996s085-2007s296#C02_H01_P007B" TargetMode="External"/><Relationship Id="rId64" Type="http://schemas.openxmlformats.org/officeDocument/2006/relationships/hyperlink" Target="https://esipa.cz/sbirka/sbsrv.dll/sb?DR=SB&amp;CP=1996s085" TargetMode="External"/><Relationship Id="rId65" Type="http://schemas.openxmlformats.org/officeDocument/2006/relationships/hyperlink" Target="https://esipa.cz/sbirka/sbsrv.dll/sb?DR=AZ&amp;CP=1991s455-2007s296#C01_H02_P008" TargetMode="External"/><Relationship Id="rId66" Type="http://schemas.openxmlformats.org/officeDocument/2006/relationships/hyperlink" Target="https://esipa.cz/sbirka/sbsrv.dll/sb?DR=SB&amp;CP=1991s455" TargetMode="External"/><Relationship Id="rId67" Type="http://schemas.openxmlformats.org/officeDocument/2006/relationships/hyperlink" Target="https://esipa.cz/sbirka/sbsrv.dll/sb?DR=AZ&amp;CP=1963s099-2007s296#C03_H01_P091" TargetMode="External"/><Relationship Id="rId68" Type="http://schemas.openxmlformats.org/officeDocument/2006/relationships/hyperlink" Target="https://esipa.cz/sbirka/sbsrv.dll/sb?DR=AZ&amp;CP=1963s099-2007s296#C03_H01_P093" TargetMode="External"/><Relationship Id="rId69" Type="http://schemas.openxmlformats.org/officeDocument/2006/relationships/hyperlink" Target="https://esipa.cz/sbirka/sbsrv.dll/sb?DR=SB&amp;CP=2000s118" TargetMode="External"/><Relationship Id="rId70" Type="http://schemas.openxmlformats.org/officeDocument/2006/relationships/hyperlink" Target="https://esipa.cz/sbirka/sbsrv.dll/sb?DR=SB&amp;CP=2004s436" TargetMode="External"/><Relationship Id="rId71" Type="http://schemas.openxmlformats.org/officeDocument/2006/relationships/hyperlink" Target="https://esipa.cz/sbirka/sbsrv.dll/sb?DR=SB&amp;CP=1992s589" TargetMode="External"/><Relationship Id="rId72" Type="http://schemas.openxmlformats.org/officeDocument/2006/relationships/hyperlink" Target="https://esipa.cz/sbirka/sbsrv.dll/sb?DR=AZ&amp;CP=1995s114-2006s186#C03_P008" TargetMode="External"/><Relationship Id="rId73" Type="http://schemas.openxmlformats.org/officeDocument/2006/relationships/hyperlink" Target="https://esipa.cz/sbirka/sbsrv.dll/sb?DR=SB&amp;CP=1995s114" TargetMode="External"/><Relationship Id="rId74" Type="http://schemas.openxmlformats.org/officeDocument/2006/relationships/hyperlink" Target="https://esipa.cz/sbirka/sbsrv.dll/sb?DR=AZ&amp;CP=1995s222-2006s517#P028" TargetMode="External"/><Relationship Id="rId75" Type="http://schemas.openxmlformats.org/officeDocument/2006/relationships/hyperlink" Target="https://esipa.cz/sbirka/sbsrv.dll/sb?DR=SB&amp;CP=1995s222" TargetMode="External"/><Relationship Id="rId76" Type="http://schemas.openxmlformats.org/officeDocument/2006/relationships/hyperlink" Target="https://esipa.cz/sbirka/sbsrv.dll/sb?DR=AZ&amp;CP=1994s072-2007s296#C06_P022" TargetMode="External"/><Relationship Id="rId77" Type="http://schemas.openxmlformats.org/officeDocument/2006/relationships/hyperlink" Target="https://esipa.cz/sbirka/sbsrv.dll/sb?DR=AZ&amp;CP=1994s072-2007s296#C06_P027"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AZ&amp;CP=2002s124-2007s120#C04_P029" TargetMode="External"/><Relationship Id="rId83" Type="http://schemas.openxmlformats.org/officeDocument/2006/relationships/hyperlink" Target="https://esipa.cz/sbirka/sbsrv.dll/sb?DR=AZ&amp;CP=2004s256-2007s296#C11_P197" TargetMode="External"/><Relationship Id="rId84" Type="http://schemas.openxmlformats.org/officeDocument/2006/relationships/hyperlink" Target="https://esipa.cz/sbirka/sbsrv.dll/sb?DR=SB&amp;CP=32001L0024" TargetMode="External"/><Relationship Id="rId85" Type="http://schemas.openxmlformats.org/officeDocument/2006/relationships/hyperlink" Target="https://esipa.cz/sbirka/sbsrv.dll/sb?DR=AZ&amp;CP=1992s021-2007s296#C02_P005A" TargetMode="External"/><Relationship Id="rId86" Type="http://schemas.openxmlformats.org/officeDocument/2006/relationships/hyperlink" Target="https://esipa.cz/sbirka/sbsrv.dll/sb?DR=SB&amp;CP=1992s021" TargetMode="External"/><Relationship Id="rId87" Type="http://schemas.openxmlformats.org/officeDocument/2006/relationships/hyperlink" Target="https://esipa.cz/sbirka/sbsrv.dll/sb?DR=SB&amp;CP=32000L0012" TargetMode="External"/><Relationship Id="rId88" Type="http://schemas.openxmlformats.org/officeDocument/2006/relationships/hyperlink" Target="https://esipa.cz/sbirka/sbsrv.dll/sb?DR=SB&amp;CP=32001L0017" TargetMode="External"/><Relationship Id="rId89" Type="http://schemas.openxmlformats.org/officeDocument/2006/relationships/hyperlink" Target="https://esipa.cz/sbirka/sbsrv.dll/sb?DR=AZ&amp;CP=1999s363-2007s296#C01_H01_P005C" TargetMode="External"/><Relationship Id="rId90" Type="http://schemas.openxmlformats.org/officeDocument/2006/relationships/hyperlink" Target="https://esipa.cz/sbirka/sbsrv.dll/sb?DR=SB&amp;CP=1999s363" TargetMode="External"/><Relationship Id="rId91" Type="http://schemas.openxmlformats.org/officeDocument/2006/relationships/hyperlink" Target="https://esipa.cz/sbirka/sbsrv.dll/sb?DR=SB&amp;CP=2004s039" TargetMode="External"/><Relationship Id="rId92" Type="http://schemas.openxmlformats.org/officeDocument/2006/relationships/hyperlink" Target="https://esipa.cz/sbirka/sbsrv.dll/sb?DR=AZ&amp;CP=1999s363-2007s296#C01_H01_P005A" TargetMode="External"/><Relationship Id="rId93" Type="http://schemas.openxmlformats.org/officeDocument/2006/relationships/hyperlink" Target="https://esipa.cz/sbirka/sbsrv.dll/sb?DR=SB&amp;CP=2004s499" TargetMode="External"/><Relationship Id="rId94" Type="http://schemas.openxmlformats.org/officeDocument/2006/relationships/hyperlink" Target="https://esipa.cz/sbirka/sbsrv.dll/sb?DR=SB&amp;CP=32000R1346" TargetMode="External"/><Relationship Id="rId95" Type="http://schemas.openxmlformats.org/officeDocument/2006/relationships/header" Target="header1.xml"/><Relationship Id="rId9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 původní znění</dc:title>
  <dc:description>Zákon o úpadku a způsobech jeho řešení (insolvenční zákon)</dc:description>
  <dc:subject/>
  <cp:keywords/>
  <cp:category/>
  <cp:lastModifiedBy/>
  <dcterms:created xsi:type="dcterms:W3CDTF">2008-01-01T00:00:00+01:00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