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w:t>
      </w:r>
      <w:r>
        <w:rPr/>
        <w:t xml:space="preserve">§ 16</w:t>
      </w:r>
      <w:r>
        <w:rPr/>
        <w:t xml:space="preserve"> odst. 3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Není-li dále stanoveno jinak, je buď žalobcem nebo žalovaným v incidenčním sporu insolvenční správce.</w:t>
      </w:r>
    </w:p>
    <w:p>
      <w:pPr>
        <w:ind w:left="0" w:right="0"/>
      </w:pPr>
      <w:r>
        <w:rPr>
          <w:b/>
          <w:bCs/>
        </w:rPr>
        <w:t xml:space="preserve">(3)</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insolvenčním správcem ustanoví osobu, kterou určí předseda insolvenčního soudu.</w:t>
      </w:r>
    </w:p>
    <w:p>
      <w:pPr>
        <w:ind w:left="0" w:right="0"/>
      </w:pPr>
      <w:r>
        <w:rPr>
          <w:b/>
          <w:bCs/>
        </w:rPr>
        <w:t xml:space="preserve">(2)</w:t>
      </w:r>
      <w:r>
        <w:rPr/>
        <w:t xml:space="preserve">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t xml:space="preserve">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předá insolvenční soud doručujícímu orgánu k doručení na adresu jeho sídla zapsanou v seznamu insolvenčních správců. Jestliže insolvenční správce o to požádá, insolvenční soud předá písemnost k doručení na jinou adresu v České republice, kterou sdělil insolvenčnímu soudu; to neplatí, nemůže-li mu být písemnost v označeném místě doručena způsobem stanoveným tímto zákonem.</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Nebyl-li na adrese uvedené v odstavci 1 zastižen insolvenční správce nebo osoba, která by byla oprávněna podle odstavce 2 za něj písemnost přijmout, doručující orgán písemnost uloží.</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předá insolvenční soud písemnost určenou insolvenčnímu správci doručujícímu orgánu k doručení tímto způsobem; </w:t>
      </w:r>
      <w:r>
        <w:rPr/>
        <w:t xml:space="preserve">§ 77</w:t>
      </w:r>
      <w:r>
        <w:rPr/>
        <w:t xml:space="preserve">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předá doručujícímu orgánu k doručení na adresu jeho předsedy. Nepodaří-li se písemnost doručit proto, že se předseda věřitelského výboru v místě doručování nezdržuje a jiná jeho adresa není insolvenčnímu soudu známa, insolvenční soud předá písemnost k doručení na adresu kteréhokoli ze zbývajících členů věřitelského výboru.</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to neplatí, nemůže-li být písemnost v označeném místě doručena způsobem stanoveným tímto zákonem.</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t xml:space="preserve">Předběžné opatření v insolvenčním řízení může insolvenční soud nařídit i bez návrhu. Předběžným opatřením může insolvenční soud také ustanovit předběžného správce.</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8"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zákona upravujícího platební styk</w:t>
      </w:r>
      <w:r>
        <w:rPr>
          <w:vertAlign w:val="superscript"/>
        </w:rPr>
        <w:t xml:space="preserve">1</w:t>
      </w:r>
      <w:r>
        <w:rPr/>
        <w:t xml:space="preserve">), nebo účastníkem vypořádacího systému podle zákona upravujícího podnikání na kapitálovém trhu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9"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2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15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Českou národní banku,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všemi skupinami věřitelů,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r>
        <w:rPr/>
        <w:t xml:space="preserve">§ 80</w:t>
      </w:r>
      <w:r>
        <w:rPr/>
        <w:t xml:space="preserve"> odst. 1, účastníkům řízení se písemnosti doručují zvlášť a rozhodnutí ve věci samé do vlastních rukou.</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t xml:space="preserve">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w:t>
      </w:r>
      <w:r>
        <w:rPr/>
        <w:t xml:space="preserve">§ 122</w:t>
      </w:r>
      <w:r>
        <w:rPr/>
        <w:t xml:space="preserve"> odst. 2.</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které vznikly v posledních 3 letech před rozhodnutím o úpadku nebo po něm,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úřadů práce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insolvenční soud uloží, aby ve prospěch majetkové podstaty zaplatil částku, o kterou přihlášená pohledávka převýšila rozsah, ve kterém byla zjištěna.</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w:t>
      </w:r>
      <w:r>
        <w:rPr/>
        <w:t xml:space="preserve">§ 299</w:t>
      </w:r>
      <w:r>
        <w:rPr/>
        <w:t xml:space="preserve"> odst. 2 tím není dotčeno. Věřiteli, který takovou pohledávku přihlásil, insolvenční soud uloží, aby ve prospěch zajištěných věřitelů, kteří přihlásili pohledávku se zajištěním ke stejnému majetku, zaplatil částku, o kterou hodnota zajištění uvedená v přihlášce převýšila hodnotu zjištěného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Dlužník a insolvenční správce mohou popírat pravost, výši a pořadí všech přihlášených pohledávek; jednotliví věřitelé toto právo nemají. Stanovisko, které insolvenční správce zaujal k jednotlivým pohledávkám v seznamu přihlášených pohledávek, může při přezkumném jednání změnit.</w:t>
      </w:r>
    </w:p>
    <w:p>
      <w:pPr>
        <w:ind w:left="0" w:right="0"/>
      </w:pPr>
      <w:r>
        <w:rPr>
          <w:b/>
          <w:bCs/>
        </w:rPr>
        <w:t xml:space="preserve">(2)</w:t>
      </w:r>
      <w:r>
        <w:rPr/>
        <w:t xml:space="preserve"> Věřitel může až do přezkoumání jím přihlášené pohledávky, dokud jeho pohledávka není zjištěna nebo účinně popřena, měnit důvod vzniku přihlašované pohledávky, její výši nebo pořadí.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dlužníkem</w:t>
      </w:r>
    </w:p>
    <w:p>
      <w:pPr>
        <w:ind w:left="0" w:right="0"/>
      </w:pPr>
      <w:r>
        <w:rPr/>
        <w:t xml:space="preserve">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pStyle w:val="Heading5"/>
      </w:pPr>
      <w:r>
        <w:rPr>
          <w:b/>
          <w:bCs/>
        </w:rPr>
        <w:t xml:space="preserve">§ 201</w:t>
      </w:r>
    </w:p>
    <w:p>
      <w:pPr>
        <w:ind w:left="0" w:right="0"/>
      </w:pPr>
      <w:r>
        <w:rPr>
          <w:b/>
          <w:bCs/>
        </w:rPr>
        <w:t xml:space="preserve">(1)</w:t>
      </w:r>
      <w:r>
        <w:rPr/>
        <w:t xml:space="preserve"> Nevykonatelná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insolvenční správce, který ji popřel, vezme své popření zpět,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rozhodnutím insolvenčního soudu ve sporu o určení její pravosti, výše nebo pořadí.</w:t>
      </w:r>
    </w:p>
    <w:p>
      <w:pPr>
        <w:ind w:left="0" w:right="0"/>
      </w:pPr>
      <w:r>
        <w:rPr>
          <w:b/>
          <w:bCs/>
        </w:rPr>
        <w:t xml:space="preserve">(2)</w:t>
      </w:r>
      <w:r>
        <w:rPr/>
        <w:t xml:space="preserve"> Vykonatelná pohledávka je zjištěna, nebyla-li včas podána žaloba podle </w:t>
      </w:r>
      <w:r>
        <w:rPr/>
        <w:t xml:space="preserve">§ 198</w:t>
      </w:r>
      <w:r>
        <w:rPr/>
        <w:t xml:space="preserve"> nebo byla-li taková žaloba zamítnuta anebo řízení o ní skončilo jinak než rozhodnutím ve věci samé.</w:t>
      </w:r>
    </w:p>
    <w:p>
      <w:pPr>
        <w:ind w:left="0" w:right="0"/>
      </w:pPr>
      <w:r>
        <w:rPr>
          <w:b/>
          <w:bCs/>
        </w:rPr>
        <w:t xml:space="preserve">(3)</w:t>
      </w:r>
      <w:r>
        <w:rPr/>
        <w:t xml:space="preserve"> Výsledek sporu o určení pravosti, výše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musí být v souladu se zvláštními právními předpisy o oceňování majetku; nepromítá se však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Postup podle odstavců 1 až 4 se neuplatní, byl-li ustanoven znalec podle </w:t>
      </w:r>
      <w:r>
        <w:rPr/>
        <w:t xml:space="preserve">§ 153</w:t>
      </w:r>
      <w:r>
        <w:rPr/>
        <w:t xml:space="preserve"> odst. 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Českou národní banku, je-li dlužník účastníkem vypořádacího systému uvedeného v seznamu České národní banky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úřadu práce o dlužných mzdových nárocích zaměstnanců dlužníka podle zvláštního právního předpisu</w:t>
      </w:r>
      <w:r>
        <w:rPr>
          <w:vertAlign w:val="superscript"/>
        </w:rPr>
        <w:t xml:space="preserve">39</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0" w:history="1">
        <w:r>
          <w:rPr>
            <w:color w:val="darkblue"/>
            <w:u w:val="single"/>
          </w:rPr>
          <w:t xml:space="preserve">§ 23</w:t>
        </w:r>
      </w:hyperlink>
      <w:r>
        <w:rPr/>
        <w:t xml:space="preserve"> odst. 1 a 3 a </w:t>
      </w:r>
      <w:hyperlink r:id="rId11" w:history="1">
        <w:r>
          <w:rPr>
            <w:color w:val="darkblue"/>
            <w:u w:val="single"/>
          </w:rPr>
          <w:t xml:space="preserve">§ 24</w:t>
        </w:r>
      </w:hyperlink>
      <w:r>
        <w:rPr/>
        <w:t xml:space="preserve"> zákona č. </w:t>
      </w:r>
      <w:hyperlink r:id="rId12"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schválený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V případě uvedeném v </w:t>
      </w:r>
      <w:r>
        <w:rPr/>
        <w:t xml:space="preserve">§ 329</w:t>
      </w:r>
      <w:r>
        <w:rPr/>
        <w:t xml:space="preserve"> odst. 2 se odstavec 1 nepoužije.</w:t>
      </w:r>
    </w:p>
    <w:p>
      <w:pPr>
        <w:ind w:left="0" w:right="0"/>
      </w:pPr>
      <w:r>
        <w:rPr>
          <w:b/>
          <w:bCs/>
        </w:rPr>
        <w:t xml:space="preserve">(3)</w:t>
      </w:r>
      <w:r>
        <w:rPr/>
        <w:t xml:space="preserve"> Odstavec 1 se nepoužije i tehdy, jestliže se věřitelé na schůzi věřitelů podle </w:t>
      </w:r>
      <w:r>
        <w:rPr/>
        <w:t xml:space="preserve">§ 150</w:t>
      </w:r>
      <w:r>
        <w:rPr/>
        <w:t xml:space="preserve"> usnesli na tom, že způsobem řešení úpadku bude reorganizace navržená jinou osobou než dlužníkem.</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České národní banky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České národní banky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zvláštního právního předpisu nebo podle obdobného právního vztahu podle zahraniční právní úpravy.</w:t>
      </w:r>
    </w:p>
    <w:p>
      <w:pPr>
        <w:ind w:left="0" w:right="0"/>
      </w:pPr>
      <w:r>
        <w:rPr>
          <w:b/>
          <w:bCs/>
        </w:rPr>
        <w:t xml:space="preserve">(2)</w:t>
      </w:r>
      <w:r>
        <w:rPr/>
        <w:t xml:space="preserve"> Ustanovení tohoto zákona nemají vliv na závěrečné vyrovnání podle zvláštního právního předpisu</w:t>
      </w:r>
      <w:r>
        <w:rPr>
          <w:vertAlign w:val="superscript"/>
        </w:rPr>
        <w:t xml:space="preserve">50</w:t>
      </w:r>
      <w:r>
        <w:rPr/>
        <w:t xml:space="preserve">)</w:t>
      </w:r>
      <w:r>
        <w:rPr/>
        <w:t xml:space="preserve">.</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0" w:right="0"/>
      </w:pPr>
      <w:r>
        <w:rPr>
          <w:b/>
          <w:bCs/>
        </w:rPr>
        <w:t xml:space="preserve">(2)</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mezi nezajištěné věřitele podle poměru jejich pohledávek způsobem určeným v rozhodnutí insolvenčního soudu o schválení oddlužení. Zajištění věřitelé se uspokojí z výtěžku zpeněžení zajištění; při tomto zpeněžení se postupuje obdobně podle ustanovení o zpeněžení zajištění v konkursu.</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w:t>
      </w:r>
      <w:r>
        <w:rPr/>
        <w:t xml:space="preserve">§ 49</w:t>
      </w:r>
      <w:r>
        <w:rPr/>
        <w:t xml:space="preserve"> až 53. K projednání způsobu oddlužení a hlasování o jeho přijetí dochází na schůzi věřitelů za tím účelem svolané nebo za podmínek stanovených tímto zákonem mimo schůzi věřitelů.</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 jestliže se bez omluvy nedostaví nebo neshledá-li insolvenční soud jeho omluvu důvodnou, má se za to, že vzal návrh na oddlužení zpět.</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w:t>
      </w:r>
      <w:r>
        <w:rPr/>
        <w:t xml:space="preserve">§ 402</w:t>
      </w:r>
      <w:r>
        <w:rPr/>
        <w:t xml:space="preserve"> odst. 4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od platil nezajištěným věřitelům vždy ke každému 1. dni v měsíci z příjmů, které získá po schválení oddlužení, částku ve stejném rozsahu, v jakém z nich mohou být při výkonu rozhodnutí nebo při exekuci uspokojeny přednostní pohledávky</w:t>
      </w:r>
      <w:r>
        <w:rPr>
          <w:vertAlign w:val="superscript"/>
        </w:rPr>
        <w:t xml:space="preserve">29</w:t>
      </w:r>
      <w:r>
        <w:rPr/>
        <w:t xml:space="preserve">),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 dlužníka, a uvede způsob výpočtu částky, která z těchto příjmů zůstane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w:t>
      </w:r>
      <w:r>
        <w:rPr/>
        <w:t xml:space="preserve">§ 403</w:t>
      </w:r>
      <w:r>
        <w:rPr/>
        <w:t xml:space="preserve"> odst. 2 insolvenční soud nevyhověl.</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plánu oddlužení obdobně </w:t>
      </w:r>
      <w:r>
        <w:rPr/>
        <w:t xml:space="preserve">§ 190</w:t>
      </w:r>
      <w:r>
        <w:rPr/>
        <w:t xml:space="preserve"> až 202.</w:t>
      </w:r>
    </w:p>
    <w:p>
      <w:pPr>
        <w:ind w:left="0" w:right="0"/>
      </w:pPr>
      <w:r>
        <w:rPr>
          <w:b/>
          <w:bCs/>
        </w:rPr>
        <w:t xml:space="preserve">(2)</w:t>
      </w:r>
      <w:r>
        <w:rPr/>
        <w:t xml:space="preserve"> Popření pohledávky nezajištěného věřitele dlužníkem má za trvání účinků schválení oddlužení plněním splátkového kalendáře tytéž účinky jako popření pohledávky insolvenčním správcem. Jestliže dlužník popřel pohledávku při přezkumném jednání, které se konalo před schválením oddlužení, nastávají účinky tohoto popření dnem, kdy nastaly účinky oddlužení plněním splátkového kalendáře;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122/1993 Sb.</w:t>
        </w:r>
      </w:hyperlink>
      <w:r>
        <w:rPr/>
        <w:t xml:space="preserve">, kterým se mění a doplňuje zákon č. </w:t>
      </w:r>
      <w:hyperlink r:id="rId13"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12/1998 Sb.</w:t>
        </w:r>
      </w:hyperlink>
      <w:r>
        <w:rPr/>
        <w:t xml:space="preserve">, kterým se mění a doplňuje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214/2000 Sb.</w:t>
        </w:r>
      </w:hyperlink>
      <w:r>
        <w:rPr/>
        <w:t xml:space="preserve">, kterým se mění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7" w:history="1">
        <w:r>
          <w:rPr>
            <w:color w:val="darkblue"/>
            <w:u w:val="single"/>
          </w:rPr>
          <w:t xml:space="preserve">368/2000 Sb.</w:t>
        </w:r>
      </w:hyperlink>
      <w:r>
        <w:rPr/>
        <w:t xml:space="preserve">, kterým se mění zákon č. </w:t>
      </w:r>
      <w:hyperlink r:id="rId18" w:history="1">
        <w:r>
          <w:rPr>
            <w:color w:val="darkblue"/>
            <w:u w:val="single"/>
          </w:rPr>
          <w:t xml:space="preserve">530/1990 Sb.</w:t>
        </w:r>
      </w:hyperlink>
      <w:r>
        <w:rPr/>
        <w:t xml:space="preserve">, o dluhopisech, ve znění pozdějších předpisů, a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19"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0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0"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1" w:history="1">
        <w:r>
          <w:rPr>
            <w:color w:val="darkblue"/>
            <w:u w:val="single"/>
          </w:rPr>
          <w:t xml:space="preserve">257/2004 Sb.</w:t>
        </w:r>
      </w:hyperlink>
      <w:r>
        <w:rPr>
          <w:sz w:val="19.200000000000003"/>
          <w:szCs w:val="19.200000000000003"/>
        </w:rPr>
        <w:t xml:space="preserve"> a zákona č. </w:t>
      </w:r>
      <w:hyperlink r:id="rId22"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3" w:history="1">
        <w:r>
          <w:rPr>
            <w:color w:val="darkblue"/>
            <w:u w:val="single"/>
          </w:rPr>
          <w:t xml:space="preserve">1/1993 Sb.</w:t>
        </w:r>
      </w:hyperlink>
      <w:r>
        <w:rPr>
          <w:sz w:val="19.200000000000003"/>
          <w:szCs w:val="19.200000000000003"/>
        </w:rPr>
        <w:t xml:space="preserve">, Ústava České republiky, ve znění ústavního zákona č. </w:t>
      </w:r>
      <w:hyperlink r:id="rId24"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5"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6"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7"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8" w:history="1">
        <w:r>
          <w:rPr>
            <w:color w:val="darkblue"/>
            <w:u w:val="single"/>
          </w:rPr>
          <w:t xml:space="preserve">§ 9</w:t>
        </w:r>
      </w:hyperlink>
      <w:r>
        <w:rPr>
          <w:sz w:val="19.200000000000003"/>
          <w:szCs w:val="19.200000000000003"/>
        </w:rPr>
        <w:t xml:space="preserve"> odst. 4, </w:t>
      </w:r>
      <w:hyperlink r:id="rId29"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0"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1"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1"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2"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3" w:history="1">
        <w:r>
          <w:rPr>
            <w:color w:val="darkblue"/>
            <w:u w:val="single"/>
          </w:rPr>
          <w:t xml:space="preserve">312/2006 Sb.</w:t>
        </w:r>
      </w:hyperlink>
      <w:r>
        <w:rPr>
          <w:sz w:val="19.200000000000003"/>
          <w:szCs w:val="19.200000000000003"/>
        </w:rPr>
        <w:t xml:space="preserve">, o insolvenčních správcích, ve znění zákona č. </w:t>
      </w:r>
      <w:hyperlink r:id="rId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4"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6"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8"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8"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9"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2"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3"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4"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5" w:history="1">
        <w:r>
          <w:rPr>
            <w:color w:val="darkblue"/>
            <w:u w:val="single"/>
          </w:rPr>
          <w:t xml:space="preserve">§ 6</w:t>
        </w:r>
      </w:hyperlink>
      <w:r>
        <w:rPr>
          <w:sz w:val="19.200000000000003"/>
          <w:szCs w:val="19.200000000000003"/>
        </w:rPr>
        <w:t xml:space="preserve"> odst. 1 zákona č. </w:t>
      </w:r>
      <w:hyperlink r:id="rId4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7" w:history="1">
        <w:r>
          <w:rPr>
            <w:color w:val="darkblue"/>
            <w:u w:val="single"/>
          </w:rPr>
          <w:t xml:space="preserve">§ 29</w:t>
        </w:r>
      </w:hyperlink>
      <w:r>
        <w:rPr>
          <w:sz w:val="19.200000000000003"/>
          <w:szCs w:val="19.200000000000003"/>
        </w:rPr>
        <w:t xml:space="preserve"> vyhlášky č. </w:t>
      </w:r>
      <w:hyperlink r:id="rId48"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9"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0"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1"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2" w:history="1">
        <w:r>
          <w:rPr>
            <w:color w:val="darkblue"/>
            <w:u w:val="single"/>
          </w:rPr>
          <w:t xml:space="preserve">§ 321</w:t>
        </w:r>
      </w:hyperlink>
      <w:r>
        <w:rPr>
          <w:sz w:val="19.200000000000003"/>
          <w:szCs w:val="19.200000000000003"/>
        </w:rPr>
        <w:t xml:space="preserve">, </w:t>
      </w:r>
      <w:hyperlink r:id="rId53"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4"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5" w:history="1">
        <w:r>
          <w:rPr>
            <w:color w:val="darkblue"/>
            <w:u w:val="single"/>
          </w:rPr>
          <w:t xml:space="preserve">§ 31</w:t>
        </w:r>
      </w:hyperlink>
      <w:r>
        <w:rPr>
          <w:sz w:val="19.200000000000003"/>
          <w:szCs w:val="19.200000000000003"/>
        </w:rPr>
        <w:t xml:space="preserve"> odst. 6 a </w:t>
      </w:r>
      <w:hyperlink r:id="rId56" w:history="1">
        <w:r>
          <w:rPr>
            <w:color w:val="darkblue"/>
            <w:u w:val="single"/>
          </w:rPr>
          <w:t xml:space="preserve">§ 37a</w:t>
        </w:r>
      </w:hyperlink>
      <w:r>
        <w:rPr>
          <w:sz w:val="19.200000000000003"/>
          <w:szCs w:val="19.200000000000003"/>
        </w:rPr>
        <w:t xml:space="preserve"> zákona č. </w:t>
      </w:r>
      <w:hyperlink r:id="rId57"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9"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0" w:history="1">
        <w:r>
          <w:rPr>
            <w:color w:val="darkblue"/>
            <w:u w:val="single"/>
          </w:rPr>
          <w:t xml:space="preserve">§ 2</w:t>
        </w:r>
      </w:hyperlink>
      <w:r>
        <w:rPr>
          <w:sz w:val="19.200000000000003"/>
          <w:szCs w:val="19.200000000000003"/>
        </w:rPr>
        <w:t xml:space="preserve"> zákona č. </w:t>
      </w:r>
      <w:hyperlink r:id="rId6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2"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3" w:history="1">
        <w:r>
          <w:rPr>
            <w:color w:val="darkblue"/>
            <w:u w:val="single"/>
          </w:rPr>
          <w:t xml:space="preserve">§ 7b</w:t>
        </w:r>
      </w:hyperlink>
      <w:r>
        <w:rPr>
          <w:sz w:val="19.200000000000003"/>
          <w:szCs w:val="19.200000000000003"/>
        </w:rPr>
        <w:t xml:space="preserve"> odst. 1 písm. e) a f) zákona č. </w:t>
      </w:r>
      <w:hyperlink r:id="rId64"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5" w:history="1">
        <w:r>
          <w:rPr>
            <w:color w:val="darkblue"/>
            <w:u w:val="single"/>
          </w:rPr>
          <w:t xml:space="preserve">§ 8</w:t>
        </w:r>
      </w:hyperlink>
      <w:r>
        <w:rPr>
          <w:sz w:val="19.200000000000003"/>
          <w:szCs w:val="19.200000000000003"/>
        </w:rPr>
        <w:t xml:space="preserve"> zákona č. </w:t>
      </w:r>
      <w:hyperlink r:id="rId6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7"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8"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9"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0"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2" w:history="1">
        <w:r>
          <w:rPr>
            <w:color w:val="darkblue"/>
            <w:u w:val="single"/>
          </w:rPr>
          <w:t xml:space="preserve">§ 8</w:t>
        </w:r>
      </w:hyperlink>
      <w:r>
        <w:rPr>
          <w:sz w:val="19.200000000000003"/>
          <w:szCs w:val="19.200000000000003"/>
        </w:rPr>
        <w:t xml:space="preserve"> zákona č. </w:t>
      </w:r>
      <w:hyperlink r:id="rId73" w:history="1">
        <w:r>
          <w:rPr>
            <w:color w:val="darkblue"/>
            <w:u w:val="single"/>
          </w:rPr>
          <w:t xml:space="preserve">114/1995 Sb.</w:t>
        </w:r>
      </w:hyperlink>
      <w:r>
        <w:rPr>
          <w:sz w:val="19.200000000000003"/>
          <w:szCs w:val="19.200000000000003"/>
        </w:rPr>
        <w:t xml:space="preserve">, o vnitrozemské plavbě.</w:t>
      </w:r>
    </w:p>
    <w:p>
      <w:pPr>
        <w:ind w:left="560" w:right="0"/>
      </w:pPr>
      <w:hyperlink r:id="rId74" w:history="1">
        <w:r>
          <w:rPr>
            <w:color w:val="darkblue"/>
            <w:u w:val="single"/>
          </w:rPr>
          <w:t xml:space="preserve">§ 28</w:t>
        </w:r>
      </w:hyperlink>
      <w:r>
        <w:rPr>
          <w:sz w:val="19.200000000000003"/>
          <w:szCs w:val="19.200000000000003"/>
        </w:rPr>
        <w:t xml:space="preserve"> vyhlášky č. </w:t>
      </w:r>
      <w:hyperlink r:id="rId75"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6" w:history="1">
        <w:r>
          <w:rPr>
            <w:color w:val="darkblue"/>
            <w:u w:val="single"/>
          </w:rPr>
          <w:t xml:space="preserve">§ 22</w:t>
        </w:r>
      </w:hyperlink>
      <w:r>
        <w:rPr>
          <w:sz w:val="19.200000000000003"/>
          <w:szCs w:val="19.200000000000003"/>
        </w:rPr>
        <w:t xml:space="preserve">, </w:t>
      </w:r>
      <w:hyperlink r:id="rId10" w:history="1">
        <w:r>
          <w:rPr>
            <w:color w:val="darkblue"/>
            <w:u w:val="single"/>
          </w:rPr>
          <w:t xml:space="preserve">§ 23</w:t>
        </w:r>
      </w:hyperlink>
      <w:r>
        <w:rPr>
          <w:sz w:val="19.200000000000003"/>
          <w:szCs w:val="19.200000000000003"/>
        </w:rPr>
        <w:t xml:space="preserve"> odst. 1 a 3 a </w:t>
      </w:r>
      <w:hyperlink r:id="rId77" w:history="1">
        <w:r>
          <w:rPr>
            <w:color w:val="darkblue"/>
            <w:u w:val="single"/>
          </w:rPr>
          <w:t xml:space="preserve">§ 27</w:t>
        </w:r>
      </w:hyperlink>
      <w:r>
        <w:rPr>
          <w:sz w:val="19.200000000000003"/>
          <w:szCs w:val="19.200000000000003"/>
        </w:rPr>
        <w:t xml:space="preserve"> zákona č. </w:t>
      </w:r>
      <w:hyperlink r:id="rId12"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0" w:history="1">
        <w:r>
          <w:rPr>
            <w:color w:val="darkblue"/>
            <w:u w:val="single"/>
          </w:rPr>
          <w:t xml:space="preserve">§ 23</w:t>
        </w:r>
      </w:hyperlink>
      <w:r>
        <w:rPr>
          <w:sz w:val="19.200000000000003"/>
          <w:szCs w:val="19.200000000000003"/>
        </w:rPr>
        <w:t xml:space="preserve"> až 28 zákona č. </w:t>
      </w:r>
      <w:hyperlink r:id="rId12"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6" w:history="1">
        <w:r>
          <w:rPr>
            <w:color w:val="darkblue"/>
            <w:u w:val="single"/>
          </w:rPr>
          <w:t xml:space="preserve">§ 22</w:t>
        </w:r>
      </w:hyperlink>
      <w:r>
        <w:rPr>
          <w:sz w:val="19.200000000000003"/>
          <w:szCs w:val="19.200000000000003"/>
        </w:rPr>
        <w:t xml:space="preserve"> zákona č. </w:t>
      </w:r>
      <w:hyperlink r:id="rId12"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2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2" w:history="1">
        <w:r>
          <w:rPr>
            <w:color w:val="darkblue"/>
            <w:u w:val="single"/>
          </w:rPr>
          <w:t xml:space="preserve">§ 29</w:t>
        </w:r>
      </w:hyperlink>
      <w:r>
        <w:rPr>
          <w:sz w:val="19.200000000000003"/>
          <w:szCs w:val="19.200000000000003"/>
        </w:rPr>
        <w:t xml:space="preserve"> odst. 4 písm. b) a odst. 5 zákona č. </w:t>
      </w:r>
      <w:hyperlink r:id="rId2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83" w:history="1">
        <w:r>
          <w:rPr>
            <w:color w:val="darkblue"/>
            <w:u w:val="single"/>
          </w:rPr>
          <w:t xml:space="preserve">§ 197</w:t>
        </w:r>
      </w:hyperlink>
      <w:r>
        <w:rPr>
          <w:sz w:val="19.200000000000003"/>
          <w:szCs w:val="19.200000000000003"/>
        </w:rPr>
        <w:t xml:space="preserve"> zákona č. </w:t>
      </w:r>
      <w:hyperlink r:id="rId41"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4"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5" w:history="1">
        <w:r>
          <w:rPr>
            <w:color w:val="darkblue"/>
            <w:u w:val="single"/>
          </w:rPr>
          <w:t xml:space="preserve">§ 5a</w:t>
        </w:r>
      </w:hyperlink>
      <w:r>
        <w:rPr>
          <w:sz w:val="19.200000000000003"/>
          <w:szCs w:val="19.200000000000003"/>
        </w:rPr>
        <w:t xml:space="preserve"> až 7a zákona č. </w:t>
      </w:r>
      <w:hyperlink r:id="rId8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7"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8"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9" w:history="1">
        <w:r>
          <w:rPr>
            <w:color w:val="darkblue"/>
            <w:u w:val="single"/>
          </w:rPr>
          <w:t xml:space="preserve">§ 5c</w:t>
        </w:r>
      </w:hyperlink>
      <w:r>
        <w:rPr>
          <w:sz w:val="19.200000000000003"/>
          <w:szCs w:val="19.200000000000003"/>
        </w:rPr>
        <w:t xml:space="preserve"> zákona č. </w:t>
      </w:r>
      <w:hyperlink r:id="rId90"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1"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2" w:history="1">
        <w:r>
          <w:rPr>
            <w:color w:val="darkblue"/>
            <w:u w:val="single"/>
          </w:rPr>
          <w:t xml:space="preserve">§ 5a</w:t>
        </w:r>
      </w:hyperlink>
      <w:r>
        <w:rPr>
          <w:sz w:val="19.200000000000003"/>
          <w:szCs w:val="19.200000000000003"/>
        </w:rPr>
        <w:t xml:space="preserve"> odst. 1 zákona č. </w:t>
      </w:r>
      <w:hyperlink r:id="rId90" w:history="1">
        <w:r>
          <w:rPr>
            <w:color w:val="darkblue"/>
            <w:u w:val="single"/>
          </w:rPr>
          <w:t xml:space="preserve">363/1999 Sb.</w:t>
        </w:r>
      </w:hyperlink>
      <w:r>
        <w:rPr>
          <w:sz w:val="19.200000000000003"/>
          <w:szCs w:val="19.200000000000003"/>
        </w:rPr>
        <w:t xml:space="preserve">, ve znění zákona č. </w:t>
      </w:r>
      <w:hyperlink r:id="rId91"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0"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3"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4" w:history="1">
        <w:r>
          <w:rPr>
            <w:color w:val="darkblue"/>
            <w:u w:val="single"/>
          </w:rPr>
          <w:t xml:space="preserve">(ES) č. 1346/2000</w:t>
        </w:r>
      </w:hyperlink>
      <w:r>
        <w:rPr>
          <w:sz w:val="19.200000000000003"/>
          <w:szCs w:val="19.200000000000003"/>
        </w:rPr>
        <w:t xml:space="preserve"> ze dne 29. května 2000 o úpadkovém řízení.</w:t>
      </w:r>
    </w:p>
    <w:sectPr>
      <w:headerReference w:type="default" r:id="rId95"/>
      <w:footerReference w:type="default" r:id="rId9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458/2008 Sb. z </w:t>
          </w:r>
          <w:r>
            <w:rPr>
              <w:rStyle w:val="bold"/>
            </w:rPr>
            <w:t xml:space="preserve">1. 1. 2009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AZ&amp;CP=1963s099-2007s296#C04_H01_P219A" TargetMode="External"/><Relationship Id="rId9" Type="http://schemas.openxmlformats.org/officeDocument/2006/relationships/hyperlink" Target="https://esipa.cz/sbirka/sbsrv.dll/sb?DR=SB&amp;CP=2007s296" TargetMode="External"/><Relationship Id="rId10" Type="http://schemas.openxmlformats.org/officeDocument/2006/relationships/hyperlink" Target="https://esipa.cz/sbirka/sbsrv.dll/sb?DR=AZ&amp;CP=1994s072-2007s296#C06_P023" TargetMode="External"/><Relationship Id="rId11" Type="http://schemas.openxmlformats.org/officeDocument/2006/relationships/hyperlink" Target="https://esipa.cz/sbirka/sbsrv.dll/sb?DR=AZ&amp;CP=1994s072-2007s296#C06_P024" TargetMode="External"/><Relationship Id="rId12" Type="http://schemas.openxmlformats.org/officeDocument/2006/relationships/hyperlink" Target="https://esipa.cz/sbirka/sbsrv.dll/sb?DR=SB&amp;CP=1994s072" TargetMode="External"/><Relationship Id="rId13" Type="http://schemas.openxmlformats.org/officeDocument/2006/relationships/hyperlink" Target="https://esipa.cz/sbirka/sbsrv.dll/sb?DR=SB&amp;CP=1991s328" TargetMode="External"/><Relationship Id="rId14" Type="http://schemas.openxmlformats.org/officeDocument/2006/relationships/hyperlink" Target="https://esipa.cz/sbirka/sbsrv.dll/sb?DR=SB&amp;CP=1993s122" TargetMode="External"/><Relationship Id="rId15" Type="http://schemas.openxmlformats.org/officeDocument/2006/relationships/hyperlink" Target="https://esipa.cz/sbirka/sbsrv.dll/sb?DR=SB&amp;CP=1998s012" TargetMode="External"/><Relationship Id="rId16" Type="http://schemas.openxmlformats.org/officeDocument/2006/relationships/hyperlink" Target="https://esipa.cz/sbirka/sbsrv.dll/sb?DR=SB&amp;CP=2000s214" TargetMode="External"/><Relationship Id="rId17" Type="http://schemas.openxmlformats.org/officeDocument/2006/relationships/hyperlink" Target="https://esipa.cz/sbirka/sbsrv.dll/sb?DR=SB&amp;CP=2000s368" TargetMode="External"/><Relationship Id="rId18" Type="http://schemas.openxmlformats.org/officeDocument/2006/relationships/hyperlink" Target="https://esipa.cz/sbirka/sbsrv.dll/sb?DR=SB&amp;CP=1990s530" TargetMode="External"/><Relationship Id="rId19" Type="http://schemas.openxmlformats.org/officeDocument/2006/relationships/hyperlink" Target="https://esipa.cz/sbirka/sbsrv.dll/sb?DR=SB&amp;CP=1991s476" TargetMode="External"/><Relationship Id="rId20" Type="http://schemas.openxmlformats.org/officeDocument/2006/relationships/hyperlink" Target="https://esipa.cz/sbirka/sbsrv.dll/sb?DR=SB&amp;CP=2002s124" TargetMode="External"/><Relationship Id="rId21" Type="http://schemas.openxmlformats.org/officeDocument/2006/relationships/hyperlink" Target="https://esipa.cz/sbirka/sbsrv.dll/sb?DR=SB&amp;CP=2004s257" TargetMode="External"/><Relationship Id="rId22" Type="http://schemas.openxmlformats.org/officeDocument/2006/relationships/hyperlink" Target="https://esipa.cz/sbirka/sbsrv.dll/sb?DR=SB&amp;CP=2005s377" TargetMode="External"/><Relationship Id="rId23" Type="http://schemas.openxmlformats.org/officeDocument/2006/relationships/hyperlink" Target="https://esipa.cz/sbirka/sbsrv.dll/sb?DR=SB&amp;CP=1993s001" TargetMode="External"/><Relationship Id="rId24" Type="http://schemas.openxmlformats.org/officeDocument/2006/relationships/hyperlink" Target="https://esipa.cz/sbirka/sbsrv.dll/sb?DR=SB&amp;CP=1997s347" TargetMode="External"/><Relationship Id="rId25" Type="http://schemas.openxmlformats.org/officeDocument/2006/relationships/hyperlink" Target="https://esipa.cz/sbirka/sbsrv.dll/sb?DR=SB&amp;CP=2006s245" TargetMode="External"/><Relationship Id="rId26" Type="http://schemas.openxmlformats.org/officeDocument/2006/relationships/hyperlink" Target="https://esipa.cz/sbirka/sbsrv.dll/sb?DR=SB&amp;CP=2006s483" TargetMode="External"/><Relationship Id="rId27" Type="http://schemas.openxmlformats.org/officeDocument/2006/relationships/hyperlink" Target="https://esipa.cz/sbirka/sbsrv.dll/sb?DR=SB&amp;CP=1992s280" TargetMode="External"/><Relationship Id="rId28" Type="http://schemas.openxmlformats.org/officeDocument/2006/relationships/hyperlink" Target="https://esipa.cz/sbirka/sbsrv.dll/sb?DR=AZ&amp;CP=1963s099-2007s296#C01_H02_P009" TargetMode="External"/><Relationship Id="rId29" Type="http://schemas.openxmlformats.org/officeDocument/2006/relationships/hyperlink" Target="https://esipa.cz/sbirka/sbsrv.dll/sb?DR=AZ&amp;CP=1963s099-2007s296#C01_H02_P011" TargetMode="External"/><Relationship Id="rId30" Type="http://schemas.openxmlformats.org/officeDocument/2006/relationships/hyperlink" Target="https://esipa.cz/sbirka/sbsrv.dll/sb?DR=SB&amp;CP=1994s189" TargetMode="External"/><Relationship Id="rId31" Type="http://schemas.openxmlformats.org/officeDocument/2006/relationships/hyperlink" Target="https://esipa.cz/sbirka/sbsrv.dll/sb?DR=AZ&amp;CP=1963s099-2007s296#C03_H01_P092" TargetMode="External"/><Relationship Id="rId32" Type="http://schemas.openxmlformats.org/officeDocument/2006/relationships/hyperlink" Target="https://esipa.cz/sbirka/sbsrv.dll/sb?DR=AZ&amp;CP=1963s099-2007s296#C03_H02_P134" TargetMode="External"/><Relationship Id="rId33" Type="http://schemas.openxmlformats.org/officeDocument/2006/relationships/hyperlink" Target="https://esipa.cz/sbirka/sbsrv.dll/sb?DR=SB&amp;CP=2006s312" TargetMode="External"/><Relationship Id="rId34" Type="http://schemas.openxmlformats.org/officeDocument/2006/relationships/hyperlink" Target="https://esipa.cz/sbirka/sbsrv.dll/sb?DR=SB&amp;CP=2004s235" TargetMode="External"/><Relationship Id="rId35" Type="http://schemas.openxmlformats.org/officeDocument/2006/relationships/hyperlink" Target="https://esipa.cz/sbirka/sbsrv.dll/sb?DR=SB&amp;CP=2000s458" TargetMode="External"/><Relationship Id="rId36" Type="http://schemas.openxmlformats.org/officeDocument/2006/relationships/hyperlink" Target="https://esipa.cz/sbirka/sbsrv.dll/sb?DR=AZ&amp;CP=1964s040-2007s296#C02_H02_P137" TargetMode="External"/><Relationship Id="rId37" Type="http://schemas.openxmlformats.org/officeDocument/2006/relationships/hyperlink" Target="https://esipa.cz/sbirka/sbsrv.dll/sb?DR=SB&amp;CP=1992s586" TargetMode="External"/><Relationship Id="rId38" Type="http://schemas.openxmlformats.org/officeDocument/2006/relationships/hyperlink" Target="https://esipa.cz/sbirka/sbsrv.dll/sb?DR=SB&amp;CP=2007s362" TargetMode="External"/><Relationship Id="rId39" Type="http://schemas.openxmlformats.org/officeDocument/2006/relationships/hyperlink" Target="https://esipa.cz/sbirka/sbsrv.dll/sb?DR=AZ&amp;CP=1991s513-2007s296#C01_H03_P038I"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AZ&amp;CP=1963s099-2007s296#C02_H02_P076" TargetMode="External"/><Relationship Id="rId43" Type="http://schemas.openxmlformats.org/officeDocument/2006/relationships/hyperlink" Target="https://esipa.cz/sbirka/sbsrv.dll/sb?DR=AZ&amp;CP=1963s099-2007s296#C01_H04_P042" TargetMode="External"/><Relationship Id="rId44" Type="http://schemas.openxmlformats.org/officeDocument/2006/relationships/hyperlink" Target="https://esipa.cz/sbirka/sbsrv.dll/sb?DR=AZ&amp;CP=1991s513-2007s296#C02_H01_D01_P066A" TargetMode="External"/><Relationship Id="rId45" Type="http://schemas.openxmlformats.org/officeDocument/2006/relationships/hyperlink" Target="https://esipa.cz/sbirka/sbsrv.dll/sb?DR=AZ&amp;CP=1988s061-2007s296#C02_OD02_P006" TargetMode="External"/><Relationship Id="rId46" Type="http://schemas.openxmlformats.org/officeDocument/2006/relationships/hyperlink" Target="https://esipa.cz/sbirka/sbsrv.dll/sb?DR=SB&amp;CP=1988s061" TargetMode="External"/><Relationship Id="rId47" Type="http://schemas.openxmlformats.org/officeDocument/2006/relationships/hyperlink" Target="https://esipa.cz/sbirka/sbsrv.dll/sb?DR=AZ&amp;CP=1967s037-2002s432#C04_P029" TargetMode="External"/><Relationship Id="rId48" Type="http://schemas.openxmlformats.org/officeDocument/2006/relationships/hyperlink" Target="https://esipa.cz/sbirka/sbsrv.dll/sb?DR=SB&amp;CP=1967s037" TargetMode="External"/><Relationship Id="rId49" Type="http://schemas.openxmlformats.org/officeDocument/2006/relationships/hyperlink" Target="https://esipa.cz/sbirka/sbsrv.dll/sb?DR=SB&amp;CP=1993s077" TargetMode="External"/><Relationship Id="rId50" Type="http://schemas.openxmlformats.org/officeDocument/2006/relationships/hyperlink" Target="https://esipa.cz/sbirka/sbsrv.dll/sb?DR=AZ&amp;CP=1963s099-2007s296#C03_H01_P079" TargetMode="External"/><Relationship Id="rId51" Type="http://schemas.openxmlformats.org/officeDocument/2006/relationships/hyperlink" Target="https://esipa.cz/sbirka/sbsrv.dll/sb?DR=SB&amp;CP=2004s190" TargetMode="External"/><Relationship Id="rId52" Type="http://schemas.openxmlformats.org/officeDocument/2006/relationships/hyperlink" Target="https://esipa.cz/sbirka/sbsrv.dll/sb?DR=AZ&amp;CP=1963s099-2007s296#C06_H05_P321" TargetMode="External"/><Relationship Id="rId53" Type="http://schemas.openxmlformats.org/officeDocument/2006/relationships/hyperlink" Target="https://esipa.cz/sbirka/sbsrv.dll/sb?DR=AZ&amp;CP=1963s099-2007s296#C06_H05_P322" TargetMode="External"/><Relationship Id="rId54" Type="http://schemas.openxmlformats.org/officeDocument/2006/relationships/hyperlink" Target="https://esipa.cz/sbirka/sbsrv.dll/sb?DR=AZ&amp;CP=1963s099-2007s296#C06_H02_P279" TargetMode="External"/><Relationship Id="rId55" Type="http://schemas.openxmlformats.org/officeDocument/2006/relationships/hyperlink" Target="https://esipa.cz/sbirka/sbsrv.dll/sb?DR=AZ&amp;CP=1988s044-2007s296#C07_P031" TargetMode="External"/><Relationship Id="rId56" Type="http://schemas.openxmlformats.org/officeDocument/2006/relationships/hyperlink" Target="https://esipa.cz/sbirka/sbsrv.dll/sb?DR=AZ&amp;CP=1988s044-2007s296#C09_P037A" TargetMode="External"/><Relationship Id="rId57" Type="http://schemas.openxmlformats.org/officeDocument/2006/relationships/hyperlink" Target="https://esipa.cz/sbirka/sbsrv.dll/sb?DR=SB&amp;CP=1988s044" TargetMode="External"/><Relationship Id="rId58" Type="http://schemas.openxmlformats.org/officeDocument/2006/relationships/hyperlink" Target="https://esipa.cz/sbirka/sbsrv.dll/sb?DR=SB&amp;CP=2000s219" TargetMode="External"/><Relationship Id="rId59" Type="http://schemas.openxmlformats.org/officeDocument/2006/relationships/hyperlink" Target="https://esipa.cz/sbirka/sbsrv.dll/sb?DR=AZ&amp;CP=1991s513-2007s296#C01_H01_D02_P005" TargetMode="External"/><Relationship Id="rId60" Type="http://schemas.openxmlformats.org/officeDocument/2006/relationships/hyperlink" Target="https://esipa.cz/sbirka/sbsrv.dll/sb?DR=AZ&amp;CP=1987s020-2007s158#C01_P002" TargetMode="External"/><Relationship Id="rId61" Type="http://schemas.openxmlformats.org/officeDocument/2006/relationships/hyperlink" Target="https://esipa.cz/sbirka/sbsrv.dll/sb?DR=SB&amp;CP=1987s020" TargetMode="External"/><Relationship Id="rId62" Type="http://schemas.openxmlformats.org/officeDocument/2006/relationships/hyperlink" Target="https://esipa.cz/sbirka/sbsrv.dll/sb?DR=AZ&amp;CP=1991s513-2007s296#C02_H01_D01_P058" TargetMode="External"/><Relationship Id="rId63" Type="http://schemas.openxmlformats.org/officeDocument/2006/relationships/hyperlink" Target="https://esipa.cz/sbirka/sbsrv.dll/sb?DR=AZ&amp;CP=1996s085-2007s296#C02_H01_P007B" TargetMode="External"/><Relationship Id="rId64" Type="http://schemas.openxmlformats.org/officeDocument/2006/relationships/hyperlink" Target="https://esipa.cz/sbirka/sbsrv.dll/sb?DR=SB&amp;CP=1996s085" TargetMode="External"/><Relationship Id="rId65" Type="http://schemas.openxmlformats.org/officeDocument/2006/relationships/hyperlink" Target="https://esipa.cz/sbirka/sbsrv.dll/sb?DR=AZ&amp;CP=1991s455-2007s296#C01_H02_P008" TargetMode="External"/><Relationship Id="rId66" Type="http://schemas.openxmlformats.org/officeDocument/2006/relationships/hyperlink" Target="https://esipa.cz/sbirka/sbsrv.dll/sb?DR=SB&amp;CP=1991s455" TargetMode="External"/><Relationship Id="rId67" Type="http://schemas.openxmlformats.org/officeDocument/2006/relationships/hyperlink" Target="https://esipa.cz/sbirka/sbsrv.dll/sb?DR=AZ&amp;CP=1963s099-2007s296#C03_H01_P091" TargetMode="External"/><Relationship Id="rId68" Type="http://schemas.openxmlformats.org/officeDocument/2006/relationships/hyperlink" Target="https://esipa.cz/sbirka/sbsrv.dll/sb?DR=AZ&amp;CP=1963s099-2007s296#C03_H01_P093" TargetMode="External"/><Relationship Id="rId69" Type="http://schemas.openxmlformats.org/officeDocument/2006/relationships/hyperlink" Target="https://esipa.cz/sbirka/sbsrv.dll/sb?DR=SB&amp;CP=2000s118" TargetMode="External"/><Relationship Id="rId70" Type="http://schemas.openxmlformats.org/officeDocument/2006/relationships/hyperlink" Target="https://esipa.cz/sbirka/sbsrv.dll/sb?DR=SB&amp;CP=2004s436" TargetMode="External"/><Relationship Id="rId71" Type="http://schemas.openxmlformats.org/officeDocument/2006/relationships/hyperlink" Target="https://esipa.cz/sbirka/sbsrv.dll/sb?DR=SB&amp;CP=1992s589" TargetMode="External"/><Relationship Id="rId72" Type="http://schemas.openxmlformats.org/officeDocument/2006/relationships/hyperlink" Target="https://esipa.cz/sbirka/sbsrv.dll/sb?DR=AZ&amp;CP=1995s114-2006s186#C03_P008" TargetMode="External"/><Relationship Id="rId73" Type="http://schemas.openxmlformats.org/officeDocument/2006/relationships/hyperlink" Target="https://esipa.cz/sbirka/sbsrv.dll/sb?DR=SB&amp;CP=1995s114" TargetMode="External"/><Relationship Id="rId74" Type="http://schemas.openxmlformats.org/officeDocument/2006/relationships/hyperlink" Target="https://esipa.cz/sbirka/sbsrv.dll/sb?DR=AZ&amp;CP=1995s222-2006s517#P028" TargetMode="External"/><Relationship Id="rId75" Type="http://schemas.openxmlformats.org/officeDocument/2006/relationships/hyperlink" Target="https://esipa.cz/sbirka/sbsrv.dll/sb?DR=SB&amp;CP=1995s222" TargetMode="External"/><Relationship Id="rId76" Type="http://schemas.openxmlformats.org/officeDocument/2006/relationships/hyperlink" Target="https://esipa.cz/sbirka/sbsrv.dll/sb?DR=AZ&amp;CP=1994s072-2007s296#C06_P022" TargetMode="External"/><Relationship Id="rId77" Type="http://schemas.openxmlformats.org/officeDocument/2006/relationships/hyperlink" Target="https://esipa.cz/sbirka/sbsrv.dll/sb?DR=AZ&amp;CP=1994s072-2007s296#C06_P027"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AZ&amp;CP=2002s124-2007s120#C04_P029" TargetMode="External"/><Relationship Id="rId83" Type="http://schemas.openxmlformats.org/officeDocument/2006/relationships/hyperlink" Target="https://esipa.cz/sbirka/sbsrv.dll/sb?DR=AZ&amp;CP=2004s256-2007s296#C11_P197" TargetMode="External"/><Relationship Id="rId84" Type="http://schemas.openxmlformats.org/officeDocument/2006/relationships/hyperlink" Target="https://esipa.cz/sbirka/sbsrv.dll/sb?DR=SB&amp;CP=32001L0024" TargetMode="External"/><Relationship Id="rId85" Type="http://schemas.openxmlformats.org/officeDocument/2006/relationships/hyperlink" Target="https://esipa.cz/sbirka/sbsrv.dll/sb?DR=AZ&amp;CP=1992s021-2007s296#C02_P005A" TargetMode="External"/><Relationship Id="rId86" Type="http://schemas.openxmlformats.org/officeDocument/2006/relationships/hyperlink" Target="https://esipa.cz/sbirka/sbsrv.dll/sb?DR=SB&amp;CP=1992s021" TargetMode="External"/><Relationship Id="rId87" Type="http://schemas.openxmlformats.org/officeDocument/2006/relationships/hyperlink" Target="https://esipa.cz/sbirka/sbsrv.dll/sb?DR=SB&amp;CP=32000L0012" TargetMode="External"/><Relationship Id="rId88" Type="http://schemas.openxmlformats.org/officeDocument/2006/relationships/hyperlink" Target="https://esipa.cz/sbirka/sbsrv.dll/sb?DR=SB&amp;CP=32001L0017" TargetMode="External"/><Relationship Id="rId89" Type="http://schemas.openxmlformats.org/officeDocument/2006/relationships/hyperlink" Target="https://esipa.cz/sbirka/sbsrv.dll/sb?DR=AZ&amp;CP=1999s363-2007s296#C01_H01_P005C" TargetMode="External"/><Relationship Id="rId90" Type="http://schemas.openxmlformats.org/officeDocument/2006/relationships/hyperlink" Target="https://esipa.cz/sbirka/sbsrv.dll/sb?DR=SB&amp;CP=1999s363" TargetMode="External"/><Relationship Id="rId91" Type="http://schemas.openxmlformats.org/officeDocument/2006/relationships/hyperlink" Target="https://esipa.cz/sbirka/sbsrv.dll/sb?DR=SB&amp;CP=2004s039" TargetMode="External"/><Relationship Id="rId92" Type="http://schemas.openxmlformats.org/officeDocument/2006/relationships/hyperlink" Target="https://esipa.cz/sbirka/sbsrv.dll/sb?DR=AZ&amp;CP=1999s363-2007s296#C01_H01_P005A" TargetMode="External"/><Relationship Id="rId93" Type="http://schemas.openxmlformats.org/officeDocument/2006/relationships/hyperlink" Target="https://esipa.cz/sbirka/sbsrv.dll/sb?DR=SB&amp;CP=2004s499" TargetMode="External"/><Relationship Id="rId94" Type="http://schemas.openxmlformats.org/officeDocument/2006/relationships/hyperlink" Target="https://esipa.cz/sbirka/sbsrv.dll/sb?DR=SB&amp;CP=32000R1346" TargetMode="External"/><Relationship Id="rId95" Type="http://schemas.openxmlformats.org/officeDocument/2006/relationships/header" Target="header1.xml"/><Relationship Id="rId9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458/2008 Sb. z 1. 1. 2009</dc:title>
  <dc:description>Zákon o úpadku a způsobech jeho řešení (insolvenční zákon)</dc:description>
  <dc:subject/>
  <cp:keywords/>
  <cp:category/>
  <cp:lastModifiedBy/>
  <dcterms:created xsi:type="dcterms:W3CDTF">2009-01-01T00:00:00+01:00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