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 zajištěným věřitelem je i agent pro zajištění podle zákona o dluhopisech,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čtvrté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w:t>
      </w:r>
      <w:hyperlink r:id="rId8" w:history="1">
        <w:r>
          <w:rPr>
            <w:color w:val="darkblue"/>
            <w:u w:val="single"/>
          </w:rPr>
          <w:t xml:space="preserve">§ 43</w:t>
        </w:r>
      </w:hyperlink>
      <w:r>
        <w:rPr/>
        <w:t xml:space="preserve"> občanského soudního řádu se nepoužije. K návrhu, který nebude podán na formuláři podle odstavce  1, se nepřihlíží. Nerozhodne‑li insolvenční soud ve lhůtě podle věty první, není již povinen o návrhu podle odstavce  1 rozhodnout a má se za to, že insolvenční soud vydal rozhodnutí, jímž návrhu vyhověl; toto rozhodnutí není soud povinen vyhotovit.</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nedoručuje zvlášť dlužníku.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 18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7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 3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 3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 Obdobně se postupuje v případě dlužníků, kteří jsou manžely.</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w:t>
      </w:r>
      <w:hyperlink r:id="rId9" w:history="1">
        <w:r>
          <w:rPr>
            <w:color w:val="darkblue"/>
            <w:u w:val="single"/>
          </w:rPr>
          <w:t xml:space="preserve">§ 3</w:t>
        </w:r>
      </w:hyperlink>
      <w:r>
        <w:rPr/>
        <w:t xml:space="preserve"> odst.  2 zákona o insolvenčních správcích</w:t>
      </w:r>
      <w:r>
        <w:rPr>
          <w:vertAlign w:val="superscript"/>
        </w:rPr>
        <w:t xml:space="preserve">9a</w:t>
      </w:r>
      <w:r>
        <w:rPr/>
        <w:t xml:space="preserve">)</w:t>
      </w:r>
      <w:r>
        <w:rPr/>
        <w:t xml:space="preserve"> na základě rozhodnutí ministerstva podle zákona o insolvenčních správcích</w:t>
      </w:r>
      <w:r>
        <w:rPr>
          <w:vertAlign w:val="superscript"/>
        </w:rPr>
        <w:t xml:space="preserve">9a</w:t>
      </w:r>
      <w:r>
        <w:rPr/>
        <w:t xml:space="preserve">)</w:t>
      </w:r>
      <w:r>
        <w:rPr/>
        <w:t xml:space="preserve">. Vyjde‑li dodatečně najevo, že dlužník je osobou podle </w:t>
      </w:r>
      <w:hyperlink r:id="rId10" w:history="1">
        <w:r>
          <w:rPr>
            <w:color w:val="darkblue"/>
            <w:u w:val="single"/>
          </w:rPr>
          <w:t xml:space="preserve">§ 3</w:t>
        </w:r>
      </w:hyperlink>
      <w:r>
        <w:rPr/>
        <w:t xml:space="preserve"> odst. 2 zákona o insolvenčních správcích</w:t>
      </w:r>
      <w:r>
        <w:rPr>
          <w:vertAlign w:val="superscript"/>
        </w:rPr>
        <w:t xml:space="preserve">9a</w:t>
      </w:r>
      <w:r>
        <w:rPr/>
        <w:t xml:space="preserve">) a insolvenční správce nebyl ustanoven postupem podle § 25 odst. 3, vyrozumí o tom insolvenční správce neprodleně insolvenční soud, který ho odvolá.</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 a pro vydání majetku zákazníka postupem stanoveným zákonem o podnikání na kapitálovém trhu.</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 písemnou zprávu o splnění oddlužení předloží bez zbytečného odkladu po splnění oddlužení.</w:t>
      </w:r>
    </w:p>
    <w:p>
      <w:pPr>
        <w:ind w:left="0" w:right="0"/>
      </w:pPr>
      <w:r>
        <w:rPr>
          <w:b/>
          <w:bCs/>
        </w:rPr>
        <w:t xml:space="preserve">(3)</w:t>
      </w:r>
      <w:r>
        <w:rPr/>
        <w:t xml:space="preserve">  Je‑li způsobem řešení úpadku dlužníka oddlužení, předloží insolvenční správce neprodleně písemnou zprávu o stavu insolvenčního řízení v případě, lze‑li důvodně předpokládat naplnění podmínek odůvodňujících zrušení schváleného oddlužení (§ 418) nebo jiných skutečností rozhodných pro průběh insolvenčního řízení (zejména § 407 odst. 3); v této zprávě insolvenční správce například uvede, zda doporučuje zrušit schválené oddlužení a z jakých důvodů.</w:t>
      </w:r>
    </w:p>
    <w:p>
      <w:pPr>
        <w:ind w:left="0" w:right="0"/>
      </w:pPr>
      <w:r>
        <w:rPr>
          <w:b/>
          <w:bCs/>
        </w:rPr>
        <w:t xml:space="preserve">(4)</w:t>
      </w:r>
      <w:r>
        <w:rPr/>
        <w:t xml:space="preserve">  V písemné zprávě o splnění oddlužení insolvenční správce uvede, zda dlužník řádně plnil všechny povinnosti podle tohoto zákona a zda doporučuje rozhodnout o splnění oddlužení.</w:t>
      </w:r>
    </w:p>
    <w:p>
      <w:pPr>
        <w:ind w:left="0" w:right="0"/>
      </w:pPr>
      <w:r>
        <w:rPr>
          <w:b/>
          <w:bCs/>
        </w:rPr>
        <w:t xml:space="preserve">(5)</w:t>
      </w:r>
      <w:r>
        <w:rPr/>
        <w:t xml:space="preserve">  Insolvenční správce zřizuje v každém insolvenčním řízení zvláštní účet u banky nebo spořitelního a úvěrního družstva za účelem odděleného vedení majetku náležícího do majetkové podstaty.</w:t>
      </w:r>
    </w:p>
    <w:p>
      <w:pPr>
        <w:ind w:left="0" w:right="0"/>
      </w:pPr>
      <w:r>
        <w:rPr>
          <w:b/>
          <w:bCs/>
        </w:rPr>
        <w:t xml:space="preserve">(6)</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uvedenými v § 40 odst. 2, kterých použil při výkonu své funkce.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se zpeněžením majetkové podstaty, insolvenční správce uloží z měsíčních splátek částku odpovídající jeho odměně a náhradě hotových výdajů za dobu 6 měsíců jako zálohu na úhradu své odměny a náhrady hotových výdajů na zvláštní účet podle § 36 odst. 5.</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lze splnění těchto činností jinými osobami podle § 40 odst. 2 hradit z majetkové podstaty se souhlasem insolvenčního soudu a věřitelského výboru.</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vykonává svou funkci osobně. Veřejná obchodní společnost vykonává funkci insolvenčního správce ohlášeným společníkem podle § 24 odst. 2.</w:t>
      </w:r>
    </w:p>
    <w:p>
      <w:pPr>
        <w:ind w:left="0" w:right="0"/>
      </w:pPr>
      <w:r>
        <w:rPr>
          <w:b/>
          <w:bCs/>
        </w:rPr>
        <w:t xml:space="preserve">(2)</w:t>
      </w:r>
      <w:r>
        <w:rPr/>
        <w:t xml:space="preserve">  Insolvenční správce může svou funkci vykonávat také prostřednictvím svého zaměstnance nebo zaměstnance dlužníka. Ve zvlášť odůvodněných případech může svou funkci vykonávat prostřednictvím jiných osob, zejména právních, ekonomických a jiných specializovaných odborníků; tím nejsou dotčeny jeho povinnosti ani odpovědnost podle tohoto zákona.</w:t>
      </w:r>
    </w:p>
    <w:p>
      <w:pPr>
        <w:ind w:left="0" w:right="0"/>
      </w:pPr>
      <w:r>
        <w:rPr>
          <w:b/>
          <w:bCs/>
        </w:rPr>
        <w:t xml:space="preserve">(3)</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(4)</w:t>
      </w:r>
      <w:r>
        <w:rPr/>
        <w:t xml:space="preserve">  Jednáním podle odstavce  3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(5)</w:t>
      </w:r>
      <w:r>
        <w:rPr/>
        <w:t xml:space="preserve">  Insolvenční správce může pověřit svého zaměstnance i zaměstnance dlužníka, aby za něho jednal v jiných soudních a dalších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osoby, prostřednictvím kterých insolvenční správce vykonává svou funkci.</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Není-li způsobem řešení úpadku oddlužení,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 62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 56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 33 odst. 3 a § 73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 47 odst.  1).</w:t>
      </w:r>
    </w:p>
    <w:p>
      <w:pPr>
        <w:ind w:left="0" w:right="0"/>
      </w:pPr>
      <w:r>
        <w:rPr>
          <w:b/>
          <w:bCs/>
        </w:rPr>
        <w:t xml:space="preserve">(3)</w:t>
      </w:r>
      <w:r>
        <w:rPr/>
        <w:t xml:space="preserve">  Proti rozhodnutí, jímž insolvenční soud jmenuje prozatímní věřitelský výbor, není odvolání přípustné.</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w:t>
      </w:r>
    </w:p>
    <w:p>
      <w:pPr>
        <w:ind w:left="0" w:right="0"/>
      </w:pPr>
      <w:r>
        <w:rPr>
          <w:b/>
          <w:bCs/>
        </w:rPr>
        <w:t xml:space="preserve">(2)</w:t>
      </w:r>
      <w:r>
        <w:rPr/>
        <w:t xml:space="preserve">  Proti rozhodnutí, kterým se návrh na odvolání z funkce zamítá, může podat odvolání osoba, která návrh podala.</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osobám, které mají právo podání opravného prostředku, osobám, o jejichž podání insolvenční soud rozhoduje, a osobám, které mají v insolvenčním řízení něco vykonat.</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12"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Insolvenční správce činí podání včetně příloh na elektronických formulářích, jejichž náležitosti stanoví prováděcí právní předpis; to neplatí pro podání nebo přílohy, které je třeba opatřit podpisem dlužníka.</w:t>
      </w:r>
    </w:p>
    <w:p>
      <w:pPr>
        <w:ind w:left="0" w:right="0"/>
      </w:pPr>
      <w:r>
        <w:rPr>
          <w:b/>
          <w:bCs/>
        </w:rPr>
        <w:t xml:space="preserve">(3)</w:t>
      </w:r>
      <w:r>
        <w:rPr/>
        <w:t xml:space="preserve">  Není‑li podání učiněno na stanoveném formuláři, ve stanoveném formátu nebo stanoveným způsobem, postupuje insolvenční soud podle </w:t>
      </w:r>
      <w:hyperlink r:id="rId13" w:history="1">
        <w:r>
          <w:rPr>
            <w:color w:val="darkblue"/>
            <w:u w:val="single"/>
          </w:rPr>
          <w:t xml:space="preserve">§ 43</w:t>
        </w:r>
      </w:hyperlink>
      <w:r>
        <w:rPr/>
        <w:t xml:space="preserve"> občanského soudního řádu, nestanoví‑li tento zákon jinak.</w:t>
      </w:r>
    </w:p>
    <w:p>
      <w:pPr>
        <w:ind w:left="0" w:right="0"/>
      </w:pPr>
      <w:r>
        <w:rPr>
          <w:b/>
          <w:bCs/>
        </w:rPr>
        <w:t xml:space="preserve">(4)</w:t>
      </w:r>
      <w:r>
        <w:rPr/>
        <w:t xml:space="preserve">  Odstavce 1 a 3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14"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w:t>
      </w:r>
    </w:p>
    <w:p>
      <w:pPr>
        <w:ind w:left="0" w:right="0"/>
      </w:pPr>
      <w:r>
        <w:rPr>
          <w:b/>
          <w:bCs/>
        </w:rPr>
        <w:t xml:space="preserve">(7)</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Je‑li podán insolvenční návrh spojený s návrhem na povolení oddlužení, lhůta ke zveřejnění vyhlášky oznamující zahájení insolvenčního řízení podle odstavce  1 činí 3 pracovní dny ode dne, kdy takový návrh došel insolvenčnímu soudu; insolvenční návrh spojený s návrhem na povolení oddlužení a jiné dokumenty v insolvenčním spise se zveřejní v insolvenčním rejstříku nejdříve spolu s vyhláškou.</w:t>
      </w:r>
    </w:p>
    <w:p>
      <w:pPr>
        <w:ind w:left="0" w:right="0"/>
      </w:pPr>
      <w:r>
        <w:rPr>
          <w:b/>
          <w:bCs/>
        </w:rPr>
        <w:t xml:space="preserve">(3)</w:t>
      </w:r>
      <w:r>
        <w:rPr/>
        <w:t xml:space="preserve">  Vyhláška podle odstavce  1 se doručuje účastníkům insolvenčního řízení; odvolání proti ní není přípustné.</w:t>
      </w:r>
    </w:p>
    <w:p>
      <w:pPr>
        <w:ind w:left="0" w:right="0"/>
      </w:pPr>
      <w:r>
        <w:rPr>
          <w:b/>
          <w:bCs/>
        </w:rPr>
        <w:t xml:space="preserve">(4)</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ind w:left="0" w:right="0"/>
      </w:pPr>
      <w:r>
        <w:rPr>
          <w:b/>
          <w:bCs/>
        </w:rPr>
        <w:t xml:space="preserve">(1)</w:t>
      </w:r>
      <w:r>
        <w:rPr/>
        <w:t xml:space="preserve">  Neprodleně poté, co byl insolvenčnímu soudu doručen insolvenční návrh podaný dlužníkem, a bylo-li insolvenční řízení zahájeno na základě insolvenčního návrhu podaného věřitelem, neprodleně poté, co byl učiněn záznam do spisu podle § 100a odst. 5, vyrozumí insolvenční soud o zahájení insolvenčního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5"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ind w:left="0" w:right="0"/>
      </w:pPr>
      <w:r>
        <w:rPr>
          <w:b/>
          <w:bCs/>
        </w:rPr>
        <w:t xml:space="preserve">(6)</w:t>
      </w:r>
      <w:r>
        <w:rPr/>
        <w:t xml:space="preserve">  Rozhodne-li insolvenční soud podle § 100a odst. 1 a neodmítne-li insolvenční návrh pro zjevnou bezdůvodnost, vyrozumí o zahájení insolvenčního řízení podle odstavce  1 neprodleně poté, co uplynula lhůta podle § 128a odst. 1. Odmítne-li insolvenční soud v této lhůtě insolvenční návrh pro zjevnou bezdůvodnost, vyrozumí o zahájení insolvenčního řízení podle odstavce  1 neprodleně po vydání rozhodnutí, kterým bylo rozhodnutí o odmítnutí insolvenčního návrhu pro zjevnou bezdůvodnost změněno. Ustanovení odstavců 2 až 5 se použijí přiměřeně.</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 nespojil‑li s insolvenčním návrhem návrh na povolení oddlužení,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až 4, platí, že pohledávku vůči dlužníkovi neosvědčil, ledaže jde o případ podle § 177 odst. 5 nebo 7.</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Rozhodnutí insolvenčního soudu podle věty druhé se doručuje zvlášť také orgánu nebo osobě, která rozhodnutí nebo opatření při provádění výkonu rozhodnutí nebo exekuce přijala nebo připravovala.</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11"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 98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 104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Osobou oprávněnou k podání odvolání proti rozhodnutí podle odstavce  1 je insolvenční navrhovatel. Proti rozhodnutí podle odstavce  3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Osobou oprávněnou k podání odvolání proti rozhodnutí podle odstavců  1 až 3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 svého majetku s uvedením svých dlužníků, a není‑li způsobem řešení úpadku oddlužení, seznam závazků s uvedením svých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t xml:space="preserve">Rozhodnutí o úpadku doručí insolvenční soud dlužníku a insolvenčnímu správci do vlastních rukou.</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příslušný orgán sociálního zabezpečení</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 Započtení vzájemných pohledávek dlužníka a věřitele v případě jistoty při nájmu bytu podle </w:t>
      </w:r>
      <w:hyperlink r:id="rId16" w:history="1">
        <w:r>
          <w:rPr>
            <w:color w:val="darkblue"/>
            <w:u w:val="single"/>
          </w:rPr>
          <w:t xml:space="preserve">§ 2254</w:t>
        </w:r>
      </w:hyperlink>
      <w:r>
        <w:rPr/>
        <w:t xml:space="preserve"> občanského zákoníku je přípustné i tehdy, jestliže zákonné podmínky tohoto započtení byly splněny do schválení oddlužení.</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17"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t xml:space="preserve">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 149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w:t>
      </w:r>
      <w:hyperlink r:id="rId18" w:history="1">
        <w:r>
          <w:rPr>
            <w:color w:val="darkblue"/>
            <w:u w:val="single"/>
          </w:rPr>
          <w:t xml:space="preserve">§ 80</w:t>
        </w:r>
      </w:hyperlink>
      <w:r>
        <w:rPr/>
        <w:t xml:space="preserve"> odst.  1, účastníkům řízení se rozhodnutí ve věci samé doručuje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 a pohledávky státu – správce daně vzniklé na základě povinnosti provést opravu odpočtu daně v případě reorganizace nebo povinnosti provést opravu odpočtu daně v případě nedobytné pohledávky podle zákona upravujícího daň z přidané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 Je‑li způsobem řešení úpadku oddlužení, za podřízené pohledávky se s výjimkou pohledávek uvedených v § 170 považují také úroky, úroky z prodlení a poplatek z prodlení z pohledávek přihlášených věřitelů a smluvní pokuta sjednaná pro případ prodlení s plněním přihlášené pohledávky, není‑li taková smluvní pokuta dluhem z podnikání, ve výši, ve které v souhrnu převyšují výši jistiny přihlášené pohledávky k okamžiku jejího vzniku.</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zvláštního zákona</w:t>
      </w:r>
      <w:r>
        <w:rPr>
          <w:vertAlign w:val="superscript"/>
        </w:rPr>
        <w:t xml:space="preserve">67</w:t>
      </w:r>
      <w:r>
        <w:rPr/>
        <w:t xml:space="preserve">), a důvod, pro který se podle zvláštního zákona</w:t>
      </w:r>
      <w:r>
        <w:rPr>
          <w:vertAlign w:val="superscript"/>
        </w:rPr>
        <w:t xml:space="preserve">67</w:t>
      </w:r>
      <w:r>
        <w:rPr/>
        <w:t xml:space="preserve">) taková osoba považuje za skutečného majitele.</w:t>
      </w:r>
    </w:p>
    <w:p>
      <w:pPr>
        <w:ind w:left="0" w:right="0"/>
      </w:pPr>
      <w:r>
        <w:rPr>
          <w:b/>
          <w:bCs/>
        </w:rPr>
        <w:t xml:space="preserve">(3)</w:t>
      </w:r>
      <w:r>
        <w:rPr/>
        <w:t xml:space="preserve">  Věřitel nemá povinnost podle odstavce  2, ač má skutečného majitele podle zvláštního zákona</w:t>
      </w:r>
      <w:r>
        <w:rPr>
          <w:vertAlign w:val="superscript"/>
        </w:rPr>
        <w:t xml:space="preserve">67</w:t>
      </w:r>
      <w:r>
        <w:rPr/>
        <w:t xml:space="preserve">), jestliže se na obchod podle zvláštního zákona</w:t>
      </w:r>
      <w:r>
        <w:rPr>
          <w:vertAlign w:val="superscript"/>
        </w:rPr>
        <w:t xml:space="preserve">67</w:t>
      </w:r>
      <w:r>
        <w:rPr/>
        <w:t xml:space="preserve">), z něhož pohledávka věřitele vznikla, uzavřený mezi povinnou osobou podle zvláštního zákona</w:t>
      </w:r>
      <w:r>
        <w:rPr>
          <w:vertAlign w:val="superscript"/>
        </w:rPr>
        <w:t xml:space="preserve">67</w:t>
      </w:r>
      <w:r>
        <w:rPr/>
        <w:t xml:space="preserve">) a věřitelem, nevztahuje povinnost provést kontrolu klienta podle zvláštního zákona</w:t>
      </w:r>
      <w:r>
        <w:rPr>
          <w:vertAlign w:val="superscript"/>
        </w:rPr>
        <w:t xml:space="preserve">67</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podle odstavce  2 osoba, která skutečného majitele podle zvláštního zákona</w:t>
      </w:r>
      <w:r>
        <w:rPr>
          <w:vertAlign w:val="superscript"/>
        </w:rPr>
        <w:t xml:space="preserve">67</w:t>
      </w:r>
      <w:r>
        <w:rPr/>
        <w:t xml:space="preserve">) nemá, doloží v příloze přihlášky pohledávky čestné prohlášení o tom, že skutečného majitele nemá.</w:t>
      </w:r>
    </w:p>
    <w:p>
      <w:pPr>
        <w:ind w:left="0" w:right="0"/>
      </w:pPr>
      <w:r>
        <w:rPr>
          <w:b/>
          <w:bCs/>
        </w:rPr>
        <w:t xml:space="preserve">(5)</w:t>
      </w:r>
      <w:r>
        <w:rPr/>
        <w:t xml:space="preserve">  Je-li věřitelem fyzická osoba, odstavce  2 a 3 se nepoužijí.</w:t>
      </w:r>
    </w:p>
    <w:p>
      <w:pPr>
        <w:ind w:left="0" w:right="0"/>
      </w:pPr>
      <w:r>
        <w:rPr>
          <w:b/>
          <w:bCs/>
        </w:rPr>
        <w:t xml:space="preserve">(6)</w:t>
      </w:r>
      <w:r>
        <w:rPr/>
        <w:t xml:space="preserve">  Dokud věřitel povinnost stanovenou v odstavcích 2 až 4 nesplní, nesmí vykonávat hlasovací práva spojená s pohledávkou.</w:t>
      </w:r>
    </w:p>
    <w:p>
      <w:pPr>
        <w:ind w:left="0" w:right="0"/>
      </w:pPr>
      <w:r>
        <w:rPr>
          <w:b/>
          <w:bCs/>
        </w:rPr>
        <w:t xml:space="preserve">(7)</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odstavců 3 a 4.</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 178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 178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(3)</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(4)</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proti kterému může podat odvolání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může podat odvolání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musí být odůvodněno co do důvodu zániku pohledávky, a proti kterému nejsou opravné prostředky přípustné.</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Osobou oprávněnou k podání odvolání proti rozhodnutí podle odstavce  1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Proti rozhodnutí podle věty první není odvolání přípustné.</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Proti rozhodnutí podle odstavce  4 není odvolání přípustné.</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t xml:space="preserve">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b/>
          <w:bCs/>
        </w:rPr>
        <w:t xml:space="preserve">(1)</w:t>
      </w:r>
      <w:r>
        <w:rPr/>
        <w:t xml:space="preserve"> 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 Výtěžek zpeněžení majetku náležejícího do společného jmění manželů se vypořádá přiměřeně podle pravidel pro vypořádání společného jmění manželů.</w:t>
      </w:r>
    </w:p>
    <w:p>
      <w:pPr>
        <w:ind w:left="0" w:right="0"/>
      </w:pPr>
      <w:r>
        <w:rPr>
          <w:b/>
          <w:bCs/>
        </w:rPr>
        <w:t xml:space="preserve">(2)</w:t>
      </w:r>
      <w:r>
        <w:rPr/>
        <w:t xml:space="preserve">  Pokud jsou vedena insolvenční řízení dlužníka i insolvenční řízení jeho manžela nebo bývalého manžela, zpeněžuje se majetek náležející do jejich společného jmění manželů podle odstavce  1 v insolvenčním řízení, ve kterém dříve nastaly účinky prohlášení konkursu nebo ve kterém zajištěný věřitel dříve požádal o zpeněžení majetku, který slouží k zajištění; v tomto řízení se také vypořádá výtěžek zpeněžení.</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a částky připadající na uspokojení osoby podle odstavce  8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Proti rozhodnutí o návrhu insolvenčního správce na vydání výtěžku zpeněžení podle odstavce  2 mohou podat odvolání jen dlužník, insolvenční správce, zajištěný věřitel, jemuž má být výtěžek vydán, a věřitel, který proti němu podal námitky.</w:t>
      </w:r>
    </w:p>
    <w:p>
      <w:pPr>
        <w:ind w:left="0" w:right="0"/>
      </w:pPr>
      <w:r>
        <w:rPr>
          <w:b/>
          <w:bCs/>
        </w:rPr>
        <w:t xml:space="preserve">(8)</w:t>
      </w:r>
      <w:r>
        <w:rPr/>
        <w:t xml:space="preserve">  V případě, že je zpeněžena jednotka v domě a osoba odpovědná za správu domu a pozemku</w:t>
      </w:r>
      <w:r>
        <w:rPr>
          <w:vertAlign w:val="superscript"/>
        </w:rPr>
        <w:t xml:space="preserve">72</w:t>
      </w:r>
      <w:r>
        <w:rPr/>
        <w:t xml:space="preserve">) přihlásila do insolvenčního řízení pohledávku související se správou domu a pozemku vůči vlastníku jednotky, uspokojí se tato pohledávka z výtěžku zpeněžení jednotky před uspokojením pohledávek zajištěných věřitelů podle odstavce  1, a to do výše jedné desetiny výtěžku zpeněžení po odečtení částek nákladů spojených se správou a zpeněžením podle odstavce  4, nestanoví‑li insolvenční soud jinak, a po odečtení částky připadající na odměnu insolvenčního správce.</w:t>
      </w:r>
    </w:p>
    <w:p>
      <w:pPr>
        <w:pStyle w:val="Heading4"/>
      </w:pPr>
      <w:r>
        <w:rPr>
          <w:b/>
          <w:bCs/>
        </w:rPr>
        <w:t xml:space="preserve">§ 299</w:t>
      </w:r>
    </w:p>
    <w:p>
      <w:pPr>
        <w:jc w:val="center"/>
        <w:ind w:left="0" w:right="0"/>
      </w:pPr>
      <w:r>
        <w:rPr/>
        <w:t xml:space="preserve">zrušen zákonem č. </w:t>
      </w:r>
      <w:hyperlink r:id="rId17"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předloží‑li insolvenční správce společně s konečnou zprávou návrh rozvrhového usnesení, insolvenční soud může spojit rozhodnutí o schválení konečné zprávy s rozvrhovým usnesením, přičemž rozvrhové usnesení nabude právní moci nejdříve dnem právní moci rozhodnutí o schválení konečné zprávy.</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Proti tomuto rozhodnutí mohou podat odvolání jen dlužník, navrhovatel reorganizace, insolvenční správce a věřitelský výbor.</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odvolání proti tomuto rozhodnutí mohou podat jen osoby uvedené v odstavci  2.</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zajištění, které dlužník poskytl, jde‑li o 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splnění povinností vyplývajících z ujednání o finančním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9"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hyperlink r:id="rId20" w:history="1">
        <w:r>
          <w:rPr>
            <w:color w:val="darkblue"/>
            <w:u w:val="single"/>
          </w:rPr>
          <w:t xml:space="preserve">§ 367</w:t>
        </w:r>
      </w:hyperlink>
      <w:r>
        <w:rPr/>
        <w:t xml:space="preserve"> odst.  1 (dále jen „orgán dozoru nebo dohledu“) a orgán příslušný k řešení krize podle zákona upravujícího ozdravné postupy a řešení krize na finančním trhu (dále jen „orgán příslušný k řešení krize“). Tím není dotčeno ustanovení </w:t>
      </w:r>
      <w:hyperlink r:id="rId21" w:history="1">
        <w:r>
          <w:rPr>
            <w:color w:val="darkblue"/>
            <w:u w:val="single"/>
          </w:rPr>
          <w:t xml:space="preserve">§ 97</w:t>
        </w:r>
      </w:hyperlink>
      <w:r>
        <w:rPr/>
        <w:t xml:space="preserve">. V návrhu orgán dozoru nebo dohledu nebo orgán příslušný k řešení krize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nebo orgánu příslušnému k řešení krize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 101 odst. 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Pořadí některých pohledávek za bankami a spořitelními a úvěrními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Garančního systému finančního trhu vzniklé podle </w:t>
      </w:r>
      <w:hyperlink r:id="rId22" w:history="1">
        <w:r>
          <w:rPr>
            <w:color w:val="darkblue"/>
            <w:u w:val="single"/>
          </w:rPr>
          <w:t xml:space="preserve">§ 41h</w:t>
        </w:r>
      </w:hyperlink>
      <w:r>
        <w:rPr/>
        <w:t xml:space="preserve"> odst. 2 zákona o bankách nebo podle </w:t>
      </w:r>
      <w:hyperlink r:id="rId23" w:history="1">
        <w:r>
          <w:rPr>
            <w:color w:val="darkblue"/>
            <w:u w:val="single"/>
          </w:rPr>
          <w:t xml:space="preserve">§ 221</w:t>
        </w:r>
      </w:hyperlink>
      <w:r>
        <w:rPr/>
        <w:t xml:space="preserve"> odst. 6 zákona upravujícího ozdravné postupy a řešení krize na finančním trhu.</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374b</w:t>
      </w:r>
      <w:r>
        <w:rPr>
          <w:rStyle w:val="hidden"/>
        </w:rPr>
        <w:t xml:space="preserve"> -</w:t>
      </w:r>
      <w:br/>
      <w:r>
        <w:rPr/>
        <w:t xml:space="preserve">Pohledávky z nepreferovaných dluhových nástrojů</w:t>
      </w:r>
    </w:p>
    <w:p>
      <w:pPr>
        <w:ind w:left="0" w:right="0"/>
      </w:pPr>
      <w:r>
        <w:rPr>
          <w:b/>
          <w:bCs/>
        </w:rPr>
        <w:t xml:space="preserve">(1)</w:t>
      </w:r>
      <w:r>
        <w:rPr/>
        <w:t xml:space="preserve">  Po pohledávkách ostatních nezajištěných věřitelů jsou uspokojovány pohledávky z dluhového nástroje, pokud takový dluhový nástroj</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původní smluvní dobu splatnosti nejméně jeden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neobsahuje vložený derivát a sám není derivátem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dokumentace a prospekt cenného papíru, pokud byl vyhotoven, uvádějí pořadí uspokojení pohledávky podle tohoto odstavce.</w:t>
      </w:r>
    </w:p>
    <w:p>
      <w:pPr>
        <w:ind w:left="0" w:right="0"/>
      </w:pPr>
      <w:r>
        <w:rPr>
          <w:b/>
          <w:bCs/>
        </w:rPr>
        <w:t xml:space="preserve">(2)</w:t>
      </w:r>
      <w:r>
        <w:rPr/>
        <w:t xml:space="preserve">  Dluhový nástroj se pro účely odstavce  1 nepovažuje za derivát ani za dluhový nástroj obsahující vložený derivát jen proto, že jako základ pro výpočet úroku je použita široce používaná referenční úroková sazba, nebo jen proto, že dluhový nástroj je vydán v jiné než domácí měně emitenta a zároveň jsou jmenovitá hodnota nebo jistina, splátka a úrok určeny ve stejné měně.</w:t>
      </w:r>
    </w:p>
    <w:p>
      <w:pPr>
        <w:ind w:left="0" w:right="0"/>
      </w:pPr>
      <w:r>
        <w:rPr>
          <w:b/>
          <w:bCs/>
        </w:rPr>
        <w:t xml:space="preserve">(3)</w:t>
      </w:r>
      <w:r>
        <w:rPr/>
        <w:t xml:space="preserve">  Pro účely tohoto paragrafu se dluhovým nástrojem rozumí dluhopis a jiná forma převoditelného dluhu a nástroj vytvářející nebo uznávající dluh.</w:t>
      </w:r>
    </w:p>
    <w:p>
      <w:pPr>
        <w:pStyle w:val="Heading5"/>
      </w:pPr>
      <w:r>
        <w:rPr>
          <w:b/>
          <w:bCs/>
        </w:rPr>
        <w:t xml:space="preserve">§ 375</w:t>
      </w:r>
      <w:r>
        <w:rPr>
          <w:rStyle w:val="hidden"/>
        </w:rPr>
        <w:t xml:space="preserve"> -</w:t>
      </w:r>
      <w:br/>
      <w:r>
        <w:rPr/>
        <w:t xml:space="preserve">Kryté dluhopisy a hypoteční úvěry</w:t>
      </w:r>
    </w:p>
    <w:p>
      <w:pPr>
        <w:ind w:left="0" w:right="0"/>
      </w:pPr>
      <w:r>
        <w:rPr>
          <w:b/>
          <w:bCs/>
        </w:rPr>
        <w:t xml:space="preserve">(1)</w:t>
      </w:r>
      <w:r>
        <w:rPr/>
        <w:t xml:space="preserve"> Krycí portfolio podle zákona o dluhopisech není součástí majetkové podstaty dlužníka, který je emitentem krytých dluhopisů. Tím není dotčena možnost, aby věci nebo jiné majetkové hodnoty, které jsou součástí krycího portfolia, přestaly být součástí tohoto krycího portfolia postupem podle § 30b odst. 4 nebo 5 zákona o dluhopisech.</w:t>
      </w:r>
    </w:p>
    <w:p>
      <w:pPr>
        <w:ind w:left="0" w:right="0"/>
      </w:pPr>
      <w:r>
        <w:rPr>
          <w:b/>
          <w:bCs/>
        </w:rPr>
        <w:t xml:space="preserve">(2)</w:t>
      </w:r>
      <w:r>
        <w:rPr/>
        <w:t xml:space="preserve"> Ustanovení § 250 se nepoužije pro dluhy z krytých dluhopisů vydaných dlužníkem, ani pro související dluhy, k jejichž krytí slouží krycí portfolio podle zákona o dluhopisech.</w:t>
      </w:r>
    </w:p>
    <w:p>
      <w:pPr>
        <w:ind w:left="0" w:right="0"/>
      </w:pPr>
      <w:r>
        <w:rPr>
          <w:b/>
          <w:bCs/>
        </w:rPr>
        <w:t xml:space="preserve">(3)</w:t>
      </w:r>
      <w:r>
        <w:rPr/>
        <w:t xml:space="preserve">  Zahájení insolvenčního řízení vůči emitentovi krytých dluhopisů, vydání rozhodnutí o úpadku emitenta krytých dluhopisů ani prohlášení konkursu na majetek emitenta krytých dluhopisů nemají vliv na kryté bloky tohoto emitenta podle zákona o dluhopisech, zejména na plnění a splatnost dluhů, které jsou součástí tohoto krytého bloku. K smluvnímu ujednání, které je s tím v rozporu, se nepřihlíží.</w:t>
      </w:r>
    </w:p>
    <w:p>
      <w:pPr>
        <w:ind w:left="0" w:right="0"/>
      </w:pPr>
      <w:r>
        <w:rPr>
          <w:b/>
          <w:bCs/>
        </w:rPr>
        <w:t xml:space="preserve">(4)</w:t>
      </w:r>
      <w:r>
        <w:rPr/>
        <w:t xml:space="preserve">  Doručí‑li nucený správce krytých bloků insolvenčnímu soudu vyčíslení pohledávek vlastníků krytých dluhopisů podle § 32b odst. 8 zákona o dluhopisech, pohlíží se tímto doručením na tyto pohledávky jako na přihlášené. K jiným pohledávkám vlastníků krytých dluhopisů se v rámci insolvenčního řízení nepřihlíží, ledaže je ve lhůtě stanovené pro přihlašování pohledávek přihlásí vlastníci krytých dluhopisů.</w:t>
      </w:r>
    </w:p>
    <w:p>
      <w:pPr>
        <w:ind w:left="0" w:right="0"/>
      </w:pPr>
      <w:r>
        <w:rPr>
          <w:b/>
          <w:bCs/>
        </w:rPr>
        <w:t xml:space="preserve">(5)</w:t>
      </w:r>
      <w:r>
        <w:rPr/>
        <w:t xml:space="preserve">  Insolvenční správce nesmí zasahovat do správy krytých bloků a je povinen poskytnout součinnost nucenému správci krytých bloků podle zákona o dluhopisech, aby mohl tento nucený správce plnit své povinnosti.</w:t>
      </w:r>
    </w:p>
    <w:p>
      <w:pPr>
        <w:pStyle w:val="Heading5"/>
      </w:pPr>
      <w:r>
        <w:rPr>
          <w:b/>
          <w:bCs/>
        </w:rPr>
        <w:t xml:space="preserve">§ 375a</w:t>
      </w:r>
      <w:r>
        <w:rPr>
          <w:rStyle w:val="hidden"/>
        </w:rPr>
        <w:t xml:space="preserve"> -</w:t>
      </w:r>
      <w:br/>
      <w:r>
        <w:rPr/>
        <w:t xml:space="preserve">Majetek zákazníka</w:t>
      </w:r>
    </w:p>
    <w:p>
      <w:pPr>
        <w:ind w:left="0" w:right="0"/>
      </w:pPr>
      <w:r>
        <w:rPr/>
        <w:t xml:space="preserve">Majetek zákazníka podle zákona o podnikání na kapitálovém trhu není součástí majetkové podstaty dlužníka.</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 která nemá dluhy z podnikání.</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ind w:left="0" w:right="0"/>
      </w:pPr>
      <w:r>
        <w:rPr>
          <w:b/>
          <w:bCs/>
        </w:rPr>
        <w:t xml:space="preserve">(7)</w:t>
      </w:r>
      <w:r>
        <w:rPr/>
        <w:t xml:space="preserve">  Nikdo není oprávněn sám nebo prostřednictvím jiného za úplatu nebo jiné zvýhodnění obstarat, zprostředkovat nebo nabídnout obstarání či zprostředkování sepisu a podání návrhu na povolení oddlužení anebo také insolvenčního návrhu podle § 390 odst. 1 nebo další činnosti s tím nezbytně spojené.</w:t>
      </w:r>
    </w:p>
    <w:p>
      <w:pPr>
        <w:pStyle w:val="Heading3"/>
      </w:pPr>
      <w:r>
        <w:rPr>
          <w:b/>
          <w:bCs/>
        </w:rPr>
        <w:t xml:space="preserve">§ 391</w:t>
      </w:r>
      <w:r>
        <w:rPr>
          <w:rStyle w:val="hidden"/>
        </w:rPr>
        <w:t xml:space="preserve"> -</w:t>
      </w:r>
      <w:br/>
      <w:r>
        <w:rPr/>
        <w:t xml:space="preserve">Náležitosti návrhu na povolení oddlužení</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12 měsících,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posledních 12 měsíců,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se zpeněžením majetkové podstaty,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pro snížení splátek a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r>
        <w:rPr>
          <w:rStyle w:val="hidden"/>
        </w:rPr>
        <w:t xml:space="preserve"> -</w:t>
      </w:r>
      <w:br/>
      <w:r>
        <w:rPr/>
        <w:t xml:space="preserve">Přílohy k návrhu na povolení oddlužení</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posledních 12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míra uspokojení podle § 412a odst. 1 písm. b) nebo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čestné prohlášení, že byl při sepisu insolvenčního návrhu poučen o svých povinnostech v insolvenčním řízení, že v oddlužení bude řádně platit pohledávky svých věřitelů, že vynaloží veškeré úsilí, které po něm lze spravedlivě požadovat, k jejich plnému uspokojení, že bude plnit všechny povinnosti vyplývající z tohoto zákona a z rozhodnutí o schválení oddlužení a že bude přiznávat veškeré své příjmy v plné výši.</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dlužník nebude schopen splácet v plné výši ani pohledávky podle § 168 odst. 2 písm. a), přičemž výše splátky ostatním věřitelům včetně věřitelů pohledávek za majetkovou podstatou a pohledávek postavených jim na roveň nesmí být nižší než tato pohledávka, a dále ani pohledávky podle § 169 odst. 1 písm. e) a § 390a odst. 5.</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Insolvenční soud zamítne návrh na povolení oddlužení také tehdy, jestliže v posledních 10 letech před podáním insolvenčního návrhu bylo dlužníku pravomocným rozhodnutím přiznáno osvobození od placení pohledávek zahrnutých do oddlužení, v rozsahu, v němž nebyly uspokojeny.</w:t>
      </w:r>
    </w:p>
    <w:p>
      <w:pPr>
        <w:ind w:left="0" w:right="0"/>
      </w:pPr>
      <w:r>
        <w:rPr>
          <w:b/>
          <w:bCs/>
        </w:rPr>
        <w:t xml:space="preserve">(4)</w:t>
      </w:r>
      <w:r>
        <w:rPr/>
        <w:t xml:space="preserve">  Insolvenční soud zamítne návrh na povolení oddlužení také tehdy, jestliže v posledních 5 letech před podáním insolvenčního návrhu byl návrh dlužníka na povolení oddlužení pravomocně zamítnut z důvodu, že je jím sledován nepoctivý záměr, nebo jestliže z téhož důvodu nebylo oddlužení schváleno nebo bylo schválené oddlužení zrušeno.</w:t>
      </w:r>
    </w:p>
    <w:p>
      <w:pPr>
        <w:ind w:left="0" w:right="0"/>
      </w:pPr>
      <w:r>
        <w:rPr>
          <w:b/>
          <w:bCs/>
        </w:rPr>
        <w:t xml:space="preserve">(5)</w:t>
      </w:r>
      <w:r>
        <w:rPr/>
        <w:t xml:space="preserve">  Insolvenční soud zamítne návrh na povolení oddlužení také tehdy, jestliže v posledních 3 měsících před podáním insolvenčního návrhu vzal dlužník svůj předchozí návrh na povolení oddlužení zpět.</w:t>
      </w:r>
    </w:p>
    <w:p>
      <w:pPr>
        <w:ind w:left="0" w:right="0"/>
      </w:pPr>
      <w:r>
        <w:rPr>
          <w:b/>
          <w:bCs/>
        </w:rPr>
        <w:t xml:space="preserve">(6)</w:t>
      </w:r>
      <w:r>
        <w:rPr/>
        <w:t xml:space="preserve">  Postup podle odstavců 3 až 6 se nepoužije, jsou‑li pro to důvody zvláštního zřetele hodné, zejména zavázal‑li se dlužník z ospravedlnitelného důvodu nebo existuje‑li výrazný nepoměr mezi výší dluhu a poskytnutého plnění.</w:t>
      </w:r>
    </w:p>
    <w:p>
      <w:pPr>
        <w:ind w:left="0" w:right="0"/>
      </w:pPr>
      <w:r>
        <w:rPr>
          <w:b/>
          <w:bCs/>
        </w:rPr>
        <w:t xml:space="preserve">(7)</w:t>
      </w:r>
      <w:r>
        <w:rPr/>
        <w:t xml:space="preserve">  Proti rozhodnutí o zamítnutí návrhu na povolení oddlužení může podat odvolání pouze dlužník.</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Rozhodnutí o povolení oddlužení nemusí obsahovat odůvodnění a se doručuje pouze dlužníku. Odvolání proti němu není přípustné.</w:t>
      </w:r>
    </w:p>
    <w:p>
      <w:pPr>
        <w:ind w:left="0" w:right="0"/>
      </w:pPr>
      <w:r>
        <w:rPr>
          <w:b/>
          <w:bCs/>
        </w:rPr>
        <w:t xml:space="preserve">(2)</w:t>
      </w:r>
      <w:r>
        <w:rPr/>
        <w:t xml:space="preserve">  Postup podle § 395 odst. 6 insolvenční soud odůvodní v rozhodnutí o povolení oddlužení. Odvolání proti tomuto rozhodnutí může podat věřitel.</w:t>
      </w:r>
    </w:p>
    <w:p>
      <w:pPr>
        <w:ind w:left="0" w:right="0"/>
      </w:pPr>
      <w:r>
        <w:rPr>
          <w:b/>
          <w:bCs/>
        </w:rPr>
        <w:t xml:space="preserve">(3)</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(4)</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r>
        <w:rPr>
          <w:rStyle w:val="hidden"/>
        </w:rPr>
        <w:t xml:space="preserve"> -</w:t>
      </w:r>
      <w:br/>
      <w:r>
        <w:rPr/>
        <w:t xml:space="preserve">Způsoby oddlužení</w:t>
      </w:r>
    </w:p>
    <w:p>
      <w:pPr>
        <w:ind w:left="0" w:right="0"/>
      </w:pPr>
      <w:r>
        <w:rPr>
          <w:b/>
          <w:bCs/>
        </w:rPr>
        <w:t xml:space="preserve">(1)</w:t>
      </w:r>
      <w:r>
        <w:rPr/>
        <w:t xml:space="preserve">  Oddlužení lze provést zpeněžením majetkové podstaty nebo plněním splátkového kalendáře se zpeněžením majetkové podstaty.</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 Zajištění věřitelé se uspokojují jen z výtěžku zpeněžení zajištění.</w:t>
      </w:r>
    </w:p>
    <w:p>
      <w:pPr>
        <w:ind w:left="0" w:right="0"/>
      </w:pPr>
      <w:r>
        <w:rPr>
          <w:b/>
          <w:bCs/>
        </w:rPr>
        <w:t xml:space="preserve">(3)</w:t>
      </w:r>
      <w:r>
        <w:rPr/>
        <w:t xml:space="preserve"> Při oddlužení plněním splátkového kalendáře se zpeněžením majetkové podstaty je dlužník povinen vydat insolvenčnímu správci majetek náležející do majetkové podstaty ke zpeněžení postupem obdobným podle ustanovení o zpeněžení majetkové podstaty v konkursu a dále do doby podání zprávy o splnění oddlužení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w:t>
      </w:r>
    </w:p>
    <w:p>
      <w:pPr>
        <w:ind w:left="0" w:right="0"/>
      </w:pPr>
      <w:r>
        <w:rPr>
          <w:b/>
          <w:bCs/>
        </w:rPr>
        <w:t xml:space="preserve">(4)</w:t>
      </w:r>
      <w:r>
        <w:rPr/>
        <w:t xml:space="preserve">  Nestačí‑li částka podle odstavce  3 k uspokojení všech pohledávek za majetkovou podstatou a pohledávek jim postavených na roveň, uspokojí se nejdříve odměna a hotové výdaje insolvenčního správce, poté pohledávky věřitelů na výživném ze zákona, jestliže vznikly po rozhodnutí o úpadku, poté pohledávka podle § 390a odst. 5, poté záloha na úhradu odměny a hotových výdajů insolvenčního správce, poté ostatní pohledávky věřitelů na výživném ze zákona a poté náklady spojené s udržováním a správou majetkové podstaty. Ostatní pohledávky za majetkovou podstatou a pohledávky jim postavené na roveň se uspokojí poměrně. Po uspokojení těchto pohledávek rozvrhne dlužník prostřednictvím insolvenčního správce částku podle odstavce  3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(5)</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je výše splátek určená podle odstavce  3 způsobilá ohrozit plnění splátkového kalendáře nebo že míra uspokojení pohledávek nezajištěných věřitelů bude vyšší i při jiné výši měsíčních splátek.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 Insolvenční soud může obdobně stanovit jinou výši měsíčních splátek i po schválení oddlužení, jestliže o to požádá dlužník pro změnu poměrů. Soud tak učiní jen tehdy, lze‑li se zřetelem ke všem okolnostem důvodně předpokládat, že je výše dosavadních splátek způsobilá ohrozit plnění splátkového kalendáře nebo že míra uspokojení pohledávek nezajištěných věřitelů bude vyšší i při jiné výši měsíčních splátek. Odvolání proti rozhodnutím podle vět první a šesté není přípustné.</w:t>
      </w:r>
    </w:p>
    <w:p>
      <w:pPr>
        <w:ind w:left="0" w:right="0"/>
      </w:pPr>
      <w:r>
        <w:rPr>
          <w:b/>
          <w:bCs/>
        </w:rPr>
        <w:t xml:space="preserve">(6)</w:t>
      </w:r>
      <w:r>
        <w:rPr/>
        <w:t xml:space="preserve">  Dlužník není povinen vydat majetek ke zpeněžení podle odstavce  3, vyplývá‑li ze zprávy pro oddlužení, že by se zpeněžením tohoto majetku nedosáhlo uspokojení věřitelů. Dlužník také není povinen vydat ke zpeněžení své obydlí, ledaže ze zprávy pro oddlužení vyplývá, že jeho hodnota přesahuje hodnotu určenou podle prováděcího právního předpisu násobkem částky na zajištění obydlí v dlužníkově bydlišti. Není‑li dále stanoveno jinak, pro účely zpeněžení podle odstavce  3 do majetkové podstaty nenáleží majetek, který dlužník nabyl v průběhu insolvenčního řízení poté, co nastaly účinky schválení oddlužení. Ustanovení § 409 odst. 4 není dotčeno.</w:t>
      </w:r>
    </w:p>
    <w:p>
      <w:pPr>
        <w:ind w:left="0" w:right="0"/>
      </w:pPr>
      <w:r>
        <w:rPr>
          <w:b/>
          <w:bCs/>
        </w:rPr>
        <w:t xml:space="preserve">(7)</w:t>
      </w:r>
      <w:r>
        <w:rPr/>
        <w:t xml:space="preserve">  Je‑li způsobem oddlužení plnění splátkového kalendáře se zpeněžením majetkové podstaty, může insolvenční soud na návrh insolvenčního správce za účelem předcházení budoucímu úpadku uložit dlužníku povinnost využít v rozsahu nejvýše 100 hodin služby odborného sociálního poradenství poskytované registrovaným poskytovatelem sociálních služeb; odvolání proti tomuto rozhodnutí není přípustné. Tato služba se dlužníku poskytuje bez úhrady nákladů.</w:t>
      </w:r>
    </w:p>
    <w:p>
      <w:pPr>
        <w:ind w:left="0" w:right="0"/>
      </w:pPr>
      <w:r>
        <w:rPr>
          <w:b/>
          <w:bCs/>
        </w:rPr>
        <w:t xml:space="preserve">(8)</w:t>
      </w:r>
      <w:r>
        <w:rPr/>
        <w:t xml:space="preserve">  V oddlužení lze postupovat s odchylkami podle § 315 odst. 1, nerozhodne‑li schůze věřitelů jinak.</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včetně návrhu a zdůvodnění výše zálohové splátky podle § 398b odst. 2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odůvodní ocenění položek soupisu a připojí k ní znalecký posudek, je‑li v majetkové podstatě nemovitá věc; navrhuje‑li insolvenční správce provést oddlužení plněním splátkového kalendáře se zpeněžením majetkové podstaty,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podle § 36 odst. 5.</w:t>
      </w:r>
    </w:p>
    <w:p>
      <w:pPr>
        <w:pStyle w:val="Heading4"/>
      </w:pPr>
      <w:r>
        <w:rPr>
          <w:b/>
          <w:bCs/>
        </w:rPr>
        <w:t xml:space="preserve">§ 398b</w:t>
      </w:r>
      <w:r>
        <w:rPr>
          <w:rStyle w:val="hidden"/>
        </w:rPr>
        <w:t xml:space="preserve"> -</w:t>
      </w:r>
      <w:br/>
      <w:r>
        <w:rPr/>
        <w:t xml:space="preserve">Splátkový kalendář fyzické osoby – podnikatele</w:t>
      </w:r>
    </w:p>
    <w:p>
      <w:pPr>
        <w:ind w:left="0" w:right="0"/>
      </w:pPr>
      <w:r>
        <w:rPr>
          <w:b/>
          <w:bCs/>
        </w:rPr>
        <w:t xml:space="preserve">(1)</w:t>
      </w:r>
      <w:r>
        <w:rPr/>
        <w:t xml:space="preserve">  Při oddlužení plněním splátkového kalendáře se zpeněžením majetkové podstaty je dlužník, který je fyzickou osobou – podnikatelem, povinen do doby podání písemné zprávy o splnění oddlužení měsíčně splácet nezajištěným věřitelům ze svých příjmů částku, která se určí podle tohoto ustanovení. Ustanovení § 398 není dotčeno.</w:t>
      </w:r>
    </w:p>
    <w:p>
      <w:pPr>
        <w:ind w:left="0" w:right="0"/>
      </w:pPr>
      <w:r>
        <w:rPr>
          <w:b/>
          <w:bCs/>
        </w:rPr>
        <w:t xml:space="preserve">(2)</w:t>
      </w:r>
      <w:r>
        <w:rPr/>
        <w:t xml:space="preserve">  V rozhodnutí o schválení oddlužení plněním splátkového kalendáře se zpeněžením majetkové podstaty uloží insolvenční soud dlužníkovi povinnost měsíčně splácet nezajištěným věřitelům z jeho příjmů z podnikání minimální nevratnou částku (dále jen „zálohová splátka“).</w:t>
      </w:r>
    </w:p>
    <w:p>
      <w:pPr>
        <w:ind w:left="0" w:right="0"/>
      </w:pPr>
      <w:r>
        <w:rPr>
          <w:b/>
          <w:bCs/>
        </w:rPr>
        <w:t xml:space="preserve">(3)</w:t>
      </w:r>
      <w:r>
        <w:rPr/>
        <w:t xml:space="preserve">  Zálohová splátka se určí z jedné dvanáctiny zjištěného zisku dlužníka za poslední zdaňovací období podle zvláštního zákona</w:t>
      </w:r>
      <w:r>
        <w:rPr>
          <w:vertAlign w:val="superscript"/>
        </w:rPr>
        <w:t xml:space="preserve">73</w:t>
      </w:r>
      <w:r>
        <w:rPr/>
        <w:t xml:space="preserve">) předcházející podání návrhu na povolení oddlužení a vypočte se ve výši, v jaké mohou být při výkonu rozhodnutí nebo exekuci uspokojeny přednostní pohledávky</w:t>
      </w:r>
      <w:r>
        <w:rPr>
          <w:vertAlign w:val="superscript"/>
        </w:rPr>
        <w:t xml:space="preserve">29</w:t>
      </w:r>
      <w:r>
        <w:rPr/>
        <w:t xml:space="preserve">). Nebyla‑li podnikatelská činnost vykonávána po celé zdaňovací období, určí se zálohová splátka z podílu zjištěného zisku a počtu měsíců, po kterou dlužník vykonával podnikatelskou činnost.</w:t>
      </w:r>
    </w:p>
    <w:p>
      <w:pPr>
        <w:ind w:left="0" w:right="0"/>
      </w:pPr>
      <w:r>
        <w:rPr>
          <w:b/>
          <w:bCs/>
        </w:rPr>
        <w:t xml:space="preserve">(4)</w:t>
      </w:r>
      <w:r>
        <w:rPr/>
        <w:t xml:space="preserve">  Nelze‑li zálohovou splátku dlužníka určit postupem podle odstavce  3, určí se po vyjádření insolvenčního správce k očekávaným budoucím měsíčním příjmům dlužníka vycházejícím z rozdílu jeho reálně dosažených příjmů a reálně vynaložených výdajů za dobu jeho podnikání.</w:t>
      </w:r>
    </w:p>
    <w:p>
      <w:pPr>
        <w:ind w:left="0" w:right="0"/>
      </w:pPr>
      <w:r>
        <w:rPr>
          <w:b/>
          <w:bCs/>
        </w:rPr>
        <w:t xml:space="preserve">(5)</w:t>
      </w:r>
      <w:r>
        <w:rPr/>
        <w:t xml:space="preserve">  Nelze‑li zálohovou splátku dlužníka určit ani postupem podle odstavce  4, určí se zálohová splátka z částky odpovídající měsíční průměrné mzdě v národním hospodářství za první až třetí čtvrtletí předchozího kalendářního roku.</w:t>
      </w:r>
    </w:p>
    <w:p>
      <w:pPr>
        <w:ind w:left="0" w:right="0"/>
      </w:pPr>
      <w:r>
        <w:rPr>
          <w:b/>
          <w:bCs/>
        </w:rPr>
        <w:t xml:space="preserve">(6)</w:t>
      </w:r>
      <w:r>
        <w:rPr/>
        <w:t xml:space="preserve">  Dlužník je povinen na konci každého zdaňovacího období podle zvláštního zákona</w:t>
      </w:r>
      <w:r>
        <w:rPr>
          <w:vertAlign w:val="superscript"/>
        </w:rPr>
        <w:t xml:space="preserve">73</w:t>
      </w:r>
      <w:r>
        <w:rPr/>
        <w:t xml:space="preserve">) předložit insolvenčnímu správci účetnictví či daňovou evidenci, přiznání k dani z příjmů a výpisy z účtů, popřípadě další listiny osvědčující jeho příjmy a výdaje; tuto povinnost dlužník nemá po podání zprávy insolvenčního správce o splnění oddlužení, na základě které vezme insolvenční soud na vědomí splnění oddlužení. Splátkovou částku následně určí insolvenční správce z jedné dvanáctiny zjištěného zisku dlužníka za zdaňovací období a vypočte se ve výši, v jaké mohou být při výkonu rozhodnutí nebo exekuci uspokojeny přednostní pohledávky</w:t>
      </w:r>
      <w:r>
        <w:rPr>
          <w:vertAlign w:val="superscript"/>
        </w:rPr>
        <w:t xml:space="preserve">29</w:t>
      </w:r>
      <w:r>
        <w:rPr/>
        <w:t xml:space="preserve">) (dále jen „referenční srážka“).</w:t>
      </w:r>
    </w:p>
    <w:p>
      <w:pPr>
        <w:ind w:left="0" w:right="0"/>
      </w:pPr>
      <w:r>
        <w:rPr>
          <w:b/>
          <w:bCs/>
        </w:rPr>
        <w:t xml:space="preserve">(7)</w:t>
      </w:r>
      <w:r>
        <w:rPr/>
        <w:t xml:space="preserve">  Je‑li součet zálohových splátek splacených dlužníkem za dané zdaňovací období nižší než součin referenční srážky a počtu měsíců, po něž v daném zdaňovacím období oddlužení trvalo, vyzve insolvenční správce dlužníka k uhrazení nedoplatku ve výši rozdílu mezi těmito částkami; dlužník je povinen nedoplatek uhradit bez zbytečného odkladu. V odůvodněných případech může soud na návrh dlužníka určit jinou výši nedoplatku; toto rozhodnutí doručuje insolvenční soud zvlášť pouze dlužníkovi a odvolání proti němu není přípustné.</w:t>
      </w:r>
    </w:p>
    <w:p>
      <w:pPr>
        <w:ind w:left="0" w:right="0"/>
      </w:pPr>
      <w:r>
        <w:rPr>
          <w:b/>
          <w:bCs/>
        </w:rPr>
        <w:t xml:space="preserve">(8)</w:t>
      </w:r>
      <w:r>
        <w:rPr/>
        <w:t xml:space="preserve">  Je‑li součet zálohových splátek splacených dlužníkem za dané zdaňovací období vyšší než součin referenční srážky a počtu měsíců, po něž v daném zdaňovacím období oddlužení trvalo, může insolvenční soud na návrh dlužníka pro následující zdaňovací období stanovit jinou výši zálohové splátky; toto rozhodnutí doručuje insolvenční soud zvlášť pouze dlužníkovi a odvolání proti němu není přípustné. Insolvenční soud může stanovit jinou výši zálohové splátky také tehdy, jestliže o to požádá dlužník pro změnu poměrů. Soud tak učiní jen tehdy, lze‑li se zřetelem ke všem okolnostem důvodně předpokládat, že je výše dosavadních zálohových splátek způsobilá ohrozit plnění splátkového kalendáře nebo že míra uspokojení pohledávek nezajištěných věřitelů bude vyšší i při jiné výši měsíčních splátek.</w:t>
      </w:r>
    </w:p>
    <w:p>
      <w:pPr>
        <w:ind w:left="0" w:right="0"/>
      </w:pPr>
      <w:r>
        <w:rPr>
          <w:b/>
          <w:bCs/>
        </w:rPr>
        <w:t xml:space="preserve">(9)</w:t>
      </w:r>
      <w:r>
        <w:rPr/>
        <w:t xml:space="preserve">  Pokud má dlužník mimo příjmů z podnikání také další příjmy, z nichž splácí pohledávky věřitelů podle § 398 odst. 3, nepoužije se při určení výše zálohové nebo referenční srážky snížení o základní částku, která nesmí být při výkonu rozhodnutí povinnému sražena z měsíční mzdy, je‑li tato základní částka uvažována při určení rozsahu splátky z jiného příjmu. Při určení, ze kterého z příjmů bude dlužníku ponechána základní částka, vezme insolvenční soud v úvahu zejména výši a pravidelnost dosahování jednotlivých příjmů.</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se zpeněžením majetkové podstaty.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1"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Jestliže ani jeden ze způsobů oddlužení nezíská prostou většinu hlasů nezajištěných věřitelů podle odstavce  3, rozhodne insolvenční soud v rozhodnutí o schválení oddlužení (§ 406) o provedení oddlužení plněním splátkového kalendáře se zpeněžením majetkové podstaty.</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Odvolání proti rozhodnutí o neschválení oddlužení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 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0" w:right="0"/>
      </w:pPr>
      <w:r>
        <w:rPr>
          <w:b/>
          <w:bCs/>
        </w:rPr>
        <w:t xml:space="preserve">(3)</w:t>
      </w:r>
      <w:r>
        <w:rPr/>
        <w:t xml:space="preserve">  V rozhodnutí, jímž schvaluje oddlužení plněním splátkového kalendáře se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do podání zprávy o splnění oddlužení platil nezajištěným věřitelům prostřednictvím insolvenčního správce vždy k určenému dni měsíce částku stanovenou podle § 398 nebo § 398b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míra uspokojení podle § 412a odst. 1 písm. b) nebo c),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uloží dlužníku povinnost vydat insolvenčnímu správci ke zpeněžení majetek náležející do majetkové podstaty a označí majetek obdobně podle odstavce  2 písm. b),</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uloží dlužníku povinnost využít služby odborného sociálního poradenství.</w:t>
      </w:r>
    </w:p>
    <w:p>
      <w:pPr>
        <w:ind w:left="0" w:right="0"/>
      </w:pPr>
      <w:r>
        <w:rPr>
          <w:b/>
          <w:bCs/>
        </w:rPr>
        <w:t xml:space="preserve">(4)</w:t>
      </w:r>
      <w:r>
        <w:rPr/>
        <w:t xml:space="preserve">  Odvolání proti rozhodnutí o schválení oddlužení může podat pouze věřitel, který hlasoval proti přijetí schváleného způsobu oddlužení. Proti rozhodnutí o schválení oddlužení plněním splátkového kalendáře se zpeněžením majetkové podstaty může podat odvolání také dlužník, jehož žádosti o stanovení jiné výše měsíčních splátek insolvenční soud nevyhověl, dlužník, je‑li důvodem odvolání tvrzení, že mu soud uložil povinnost vydat ke zpeněžení majetek, který podle tohoto zákona není povinen vydat,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se zpeněžením majetkové podstaty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se zpeněžením majetkové podstaty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se zpeněžením majetkové podstaty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ledaže zajištěný věřitel požádá, aby tento majetek zpeněžen nebyl, a zpeněžením ostatního majetku dojde k plnému uspokojení pohledávek nezajištěných věřitelů nebo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se zpeněžením majetkové podstaty má dispoziční oprávnění k příjmům, které získá po schválení oddlužení, dlužník. S takto nabytými příjmy je dlužník povinen naložit způsobem uvedeným v rozhodnutí o schválení oddlužení plněním splátkového kalendáře se zpeněžením majetkové podstaty.</w:t>
      </w:r>
    </w:p>
    <w:p>
      <w:pPr>
        <w:ind w:left="0" w:right="0"/>
      </w:pPr>
      <w:r>
        <w:rPr>
          <w:b/>
          <w:bCs/>
        </w:rPr>
        <w:t xml:space="preserve">(2)</w:t>
      </w:r>
      <w:r>
        <w:rPr/>
        <w:t xml:space="preserve">  Jestliže insolvenční soud uložil dlužníku povinnost vydat majetek ke zpeněžení, použije se pro oddlužení plněním splátkového kalendáře se zpeněžením majetkové podstaty § 408 odst. 1 obdobně. Poté, co insolvenční správce zpeněží majetek, který podléhá oddlužení plněním splátkového kalendáře se zpeněžením majetkové podstaty, předloží insolvenčnímu soudu zprávu o stavu insolvenčního řízení, pro niž se použije přiměřeně ustanovení o konečné zprávě v konkursu, a poté se postupuje obdobně podle ustanovení o rozvrhu v konkursu.</w:t>
      </w:r>
    </w:p>
    <w:p>
      <w:pPr>
        <w:ind w:left="0" w:right="0"/>
      </w:pPr>
      <w:r>
        <w:rPr>
          <w:b/>
          <w:bCs/>
        </w:rPr>
        <w:t xml:space="preserve">(3)</w:t>
      </w:r>
      <w:r>
        <w:rPr/>
        <w:t xml:space="preserve">  Dispoziční oprávnění k majetku, náležejícímu do majetkové podstaty v době schválení oddlužení, s výjimkou toho majetku, který byl postižen v rámci výkonu rozhodnutí nebo exekuce, má od právní moci rozhodnutí o schválení oddlužení plněním splátkového kalendáře se zpeněžením majetkové podstaty dlužník; to neplatí, jde‑li o majetek, který slouží k zajištění nebo který insolvenční soud uložil vydat ke zpeněžení.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(4)</w:t>
      </w:r>
      <w:r>
        <w:rPr/>
        <w:t xml:space="preserve">  Majetek, který slouží k zajištění, zpeněží insolvenční správce po schválení oddlužení plněním splátkového kalendáře se zpeněžením majetkové podstaty,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Skončením osobního jednání s dlužníkem končí přezkumné jednání.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proti tomuto rozhodnutí není odvolání přípustné.</w:t>
      </w:r>
    </w:p>
    <w:p>
      <w:pPr>
        <w:ind w:left="0" w:right="0"/>
      </w:pPr>
      <w:r>
        <w:rPr>
          <w:b/>
          <w:bCs/>
        </w:rPr>
        <w:t xml:space="preserve">(5)</w:t>
      </w:r>
      <w:r>
        <w:rPr/>
        <w:t xml:space="preserve">  Popření pohledávky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r>
        <w:rPr>
          <w:rStyle w:val="hidden"/>
        </w:rPr>
        <w:t xml:space="preserve"> -</w:t>
      </w:r>
      <w:br/>
      <w:r>
        <w:rPr/>
        <w:t xml:space="preserve">Povinnosti dlužníka po schválení oddlužení</w:t>
      </w:r>
    </w:p>
    <w:p>
      <w:pPr>
        <w:ind w:left="0" w:right="0"/>
      </w:pPr>
      <w:r>
        <w:rPr>
          <w:b/>
          <w:bCs/>
        </w:rPr>
        <w:t xml:space="preserve">(1)</w:t>
      </w:r>
      <w:r>
        <w:rPr/>
        <w:t xml:space="preserve">  Po dobu trvání účinků schválení oddlužení plněním splátkového kalendáře se zpeněžením majetkové podstaty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a část výtěžku zpeněžení majetku náležejícího do společného jmění manželů, použít k mimořádným splátkám nad rámec splátkového kalendáře; za mimořádný příjem se nepovažují plnění z pojistných smluv o škodovém pojištění a plnění z titulu práva na náhradu majetkové a nemajetkové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přehled svých příjmů za uplynulých 6 kalendářních měsíců, neurčí‑li insolvenční soud v usnesení o schválení oddlužení jinou dobu předkládání; insolvenční soud může v usnesení o schválení oddlužení stanovit i to, že přehled příjmů bude dlužník předkládat,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vynaložit veškeré úsilí, které po něm lze spravedlivě požadovat, k plnému uspokojení pohledávek svých věřitelů.</w:t>
      </w:r>
    </w:p>
    <w:p>
      <w:pPr>
        <w:ind w:left="0" w:right="0"/>
      </w:pPr>
      <w:r>
        <w:rPr>
          <w:b/>
          <w:bCs/>
        </w:rPr>
        <w:t xml:space="preserve">(2)</w:t>
      </w:r>
      <w:r>
        <w:rPr/>
        <w:t xml:space="preserve">  Po dobu trvání účinků schválení oddlužení plněním splátkového kalendáře se zpeněžením majetkové podstaty vykonává insolvenční správce dohled nad činností dlužníka. O výsledcích své činnosti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se zpeněžením majetkové podstaty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412a</w:t>
      </w:r>
      <w:r>
        <w:rPr>
          <w:rStyle w:val="hidden"/>
        </w:rPr>
        <w:t xml:space="preserve"> -</w:t>
      </w:r>
      <w:br/>
      <w:r>
        <w:rPr/>
        <w:t xml:space="preserve">Splnění oddlužení</w:t>
      </w:r>
    </w:p>
    <w:p>
      <w:pPr>
        <w:ind w:left="0" w:right="0"/>
      </w:pPr>
      <w:r>
        <w:rPr>
          <w:b/>
          <w:bCs/>
        </w:rPr>
        <w:t xml:space="preserve">(1)</w:t>
      </w:r>
      <w:r>
        <w:rPr/>
        <w:t xml:space="preserve">  Oddlužení plněním splátkového kalendáře se zpeněžením majetkové podstaty je splněno,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splatil nezajištěným věřitelům jejich pohledávky v plné výši,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3 let od schválení oddlužení splatil nezajištěným věřitelům alespoň 60 % jejich pohledávek,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dobu 5 let od schválení oddlužení nebylo dlužníku oddlužení zrušeno a dlužník neporušil svou povinnost vynaložit veškeré úsilí, které po něm bylo možno spravedlivě požadovat, k plnému uspokojení pohledávek svých věřitelů; má se za to, že tuto povinnost neporušil, jestliže v této době splatil nezajištěným věřitelům alespoň 30 % jejich pohledávek.</w:t>
      </w:r>
    </w:p>
    <w:p>
      <w:pPr>
        <w:ind w:left="0" w:right="0"/>
      </w:pPr>
      <w:r>
        <w:rPr>
          <w:b/>
          <w:bCs/>
        </w:rPr>
        <w:t xml:space="preserve">(2)</w:t>
      </w:r>
      <w:r>
        <w:rPr/>
        <w:t xml:space="preserve">  Oddlužení zpeněžením majetkové podstaty je splněno po obdržení zprávy insolvenčního správce o splnění rozvrhového usnesení, jestliže dlužník řádně splnil všechny povinnosti stanovené v rozhodnutí o schválení oddlužení.</w:t>
      </w:r>
    </w:p>
    <w:p>
      <w:pPr>
        <w:ind w:left="0" w:right="0"/>
      </w:pPr>
      <w:r>
        <w:rPr>
          <w:b/>
          <w:bCs/>
        </w:rPr>
        <w:t xml:space="preserve">(3)</w:t>
      </w:r>
      <w:r>
        <w:rPr/>
        <w:t xml:space="preserve">  Pro splnění oddlužení podle odstavce  1 písm. b) a c) postačí, jestliže by požadované míry splacení pohledávek nezajištěných věřitelů bylo dosaženo bez přihlédnutí k podřízeným pohledávkám.</w:t>
      </w:r>
    </w:p>
    <w:p>
      <w:pPr>
        <w:ind w:left="0" w:right="0"/>
      </w:pPr>
      <w:r>
        <w:rPr>
          <w:b/>
          <w:bCs/>
        </w:rPr>
        <w:t xml:space="preserve">(4)</w:t>
      </w:r>
      <w:r>
        <w:rPr/>
        <w:t xml:space="preserve">  Vznikl‑li dlužníku nárok na starobní důchod před schválením oddlužení a tento nárok trval po celou dobu schváleného oddlužení nebo je‑li dlužník invalidní ve druhém nebo třetím stupni</w:t>
      </w:r>
      <w:r>
        <w:rPr>
          <w:vertAlign w:val="superscript"/>
        </w:rPr>
        <w:t xml:space="preserve">74</w:t>
      </w:r>
      <w:r>
        <w:rPr/>
        <w:t xml:space="preserve">), je oddlužení plněním splátkového kalendáře se zpeněžením majetkové podstaty splněno, jestliže nebylo zrušeno po dobu 3 let od schválení oddlužení. Listiny dokládající vznik starobního důchodu nebo invaliditu dlužník za účelem podání zprávy o splnění oddlužení předloží insolvenčnímu správci.</w:t>
      </w:r>
    </w:p>
    <w:p>
      <w:pPr>
        <w:ind w:left="0" w:right="0"/>
      </w:pPr>
      <w:r>
        <w:rPr>
          <w:b/>
          <w:bCs/>
        </w:rPr>
        <w:t xml:space="preserve">(5)</w:t>
      </w:r>
      <w:r>
        <w:rPr/>
        <w:t xml:space="preserve">  Jestliže bylo dlužníku v jiném insolvenčním řízení po splnění oddlužení podle odstavce  4 pravomocným rozhodnutím přiznáno osvobození od placení pohledávek zahrnutých do oddlužení, v rozsahu, v němž nebyly uspokojeny, může insolvenční soud o splnění oddlužení podle odstavce  4 rozhodnout jen z důvodů zvláštního zřetele hodných.</w:t>
      </w:r>
    </w:p>
    <w:p>
      <w:pPr>
        <w:ind w:left="0" w:right="0"/>
      </w:pPr>
      <w:r>
        <w:rPr>
          <w:b/>
          <w:bCs/>
        </w:rPr>
        <w:t xml:space="preserve">(6)</w:t>
      </w:r>
      <w:r>
        <w:rPr/>
        <w:t xml:space="preserve">  Pokud pohledávky nezajištěných věřitelů vznikly alespoň ze dvou třetin jejich výše před dosažením 18 let věku dlužníka, je oddlužení plněním splátkového kalendáře se zpeněžením majetkové podstaty splněno, jestliže nebylo zrušeno po dobu 3 let od schválení oddlužení. Za pohledávku vzniklou před dosažením 18 let věku dlužníka se dále považuje příslušenství takové pohledávky, smluvní pokuta vzniklá na základě stejné smlouvy jako taková pohledávka a pohledávka, která vznikla na základě smlouvy uzavřené při podnikatelské činnosti věřitele před uplynutím 3 let od dosažení 18 let věku dlužníka, jestliže obdržené plnění dlužník alespoň ze dvou třetin jeho výše využil k úhradě pohledávky podle věty první.</w:t>
      </w:r>
    </w:p>
    <w:p>
      <w:pPr>
        <w:pStyle w:val="Heading4"/>
      </w:pPr>
      <w:r>
        <w:rPr>
          <w:b/>
          <w:bCs/>
        </w:rPr>
        <w:t xml:space="preserve">§ 412b</w:t>
      </w:r>
      <w:r>
        <w:rPr>
          <w:rStyle w:val="hidden"/>
        </w:rPr>
        <w:t xml:space="preserve"> -</w:t>
      </w:r>
      <w:br/>
      <w:r>
        <w:rPr/>
        <w:t xml:space="preserve">Přerušení a prodloužení průběhu oddlužení</w:t>
      </w:r>
    </w:p>
    <w:p>
      <w:pPr>
        <w:ind w:left="0" w:right="0"/>
      </w:pPr>
      <w:r>
        <w:rPr>
          <w:b/>
          <w:bCs/>
        </w:rPr>
        <w:t xml:space="preserve">(1)</w:t>
      </w:r>
      <w:r>
        <w:rPr/>
        <w:t xml:space="preserve">  Insolvenční soud může po schválení oddlužení plněním splátkového kalendáře se zpeněžením majetkové podstaty rozhodnout o přerušení průběhu oddlužení až na 1 rok. Učiní tak z důležitých důvodů na návrh dlužníka nebo insolvenčního správce. Průběh oddlužení nelze přerušit opakovaně. Odvolání proti rozhodnutí o přerušení průběhu oddlužení není přípustné.</w:t>
      </w:r>
    </w:p>
    <w:p>
      <w:pPr>
        <w:ind w:left="0" w:right="0"/>
      </w:pPr>
      <w:r>
        <w:rPr>
          <w:b/>
          <w:bCs/>
        </w:rPr>
        <w:t xml:space="preserve">(2)</w:t>
      </w:r>
      <w:r>
        <w:rPr/>
        <w:t xml:space="preserve">  Po dobu přerušení průběhu oddlužení nemusí dlužník plnit svou povinnost splácet podle § 398 odst. 3; ustanovení § 418 odst. 1 písm. d) se nepoužije.</w:t>
      </w:r>
    </w:p>
    <w:p>
      <w:pPr>
        <w:ind w:left="0" w:right="0"/>
      </w:pPr>
      <w:r>
        <w:rPr>
          <w:b/>
          <w:bCs/>
        </w:rPr>
        <w:t xml:space="preserve">(3)</w:t>
      </w:r>
      <w:r>
        <w:rPr/>
        <w:t xml:space="preserve">  Jakmile odpadne důvod přerušení, rozhodne insolvenční soud o pokračování v oddlužení i bez návrhu. Proti tomuto rozhodnutí není odvolání přípustné. O pokračování v oddlužení soud nerozhoduje, jestliže bylo oddlužení přerušeno na přesně určenou dobu či do určitého dne.</w:t>
      </w:r>
    </w:p>
    <w:p>
      <w:pPr>
        <w:ind w:left="0" w:right="0"/>
      </w:pPr>
      <w:r>
        <w:rPr>
          <w:b/>
          <w:bCs/>
        </w:rPr>
        <w:t xml:space="preserve">(4)</w:t>
      </w:r>
      <w:r>
        <w:rPr/>
        <w:t xml:space="preserve">  Doba, po niž byl přerušen průběh oddlužení, se nezapočítává do doby podle § 412a odst. 1.</w:t>
      </w:r>
    </w:p>
    <w:p>
      <w:pPr>
        <w:ind w:left="0" w:right="0"/>
      </w:pPr>
      <w:r>
        <w:rPr>
          <w:b/>
          <w:bCs/>
        </w:rPr>
        <w:t xml:space="preserve">(5)</w:t>
      </w:r>
      <w:r>
        <w:rPr/>
        <w:t xml:space="preserve">  Insolvenční soud může rozhodnout, že se doba, která je rozhodná pro posouzení splacení pohledávek podle § 412a odst. 1, prodlouží až o 6 měsíců. Učiní tak z důležitých důvodů na návrh dlužníka podaný do uplynutí doby, která je rozhodná pro posouzení splacení pohledávek podle § 412a odst. 1. Průběh oddlužení nelze prodloužit opakovaně. Odvolání proti rozhodnutí o prodloužení průběhu oddlužení není přípustné.</w:t>
      </w:r>
    </w:p>
    <w:p>
      <w:pPr>
        <w:pStyle w:val="Heading4"/>
      </w:pPr>
      <w:r>
        <w:rPr>
          <w:b/>
          <w:bCs/>
        </w:rPr>
        <w:t xml:space="preserve">§ 413</w:t>
      </w:r>
      <w:r>
        <w:rPr>
          <w:rStyle w:val="hidden"/>
        </w:rPr>
        <w:t xml:space="preserve"> -</w:t>
      </w:r>
      <w:br/>
      <w:r>
        <w:rPr/>
        <w:t xml:space="preserve">Rozhodnutí o splnění oddlužení</w:t>
      </w:r>
    </w:p>
    <w:p>
      <w:pPr>
        <w:ind w:left="0" w:right="0"/>
      </w:pPr>
      <w:r>
        <w:rPr>
          <w:b/>
          <w:bCs/>
        </w:rPr>
        <w:t xml:space="preserve">(1)</w:t>
      </w:r>
      <w:r>
        <w:rPr/>
        <w:t xml:space="preserve">  Splnění oddlužení vezme insolvenční soud na vědomí rozhodnutím, jinak rozhodne o nesplnění oddlužení. Současně insolvenční soud rozhodne o odměně insolvenčního správce a jeho nákladech a zprostí insolvenčního správce jeho funkce. Odvolání proti tomuto rozhodnutí mohou podat dlužník, insolvenční správce a věřitelé; toto rozhodnutí je účinné nabytím právní moci, jeho právní mocí insolvenční řízení končí.</w:t>
      </w:r>
    </w:p>
    <w:p>
      <w:pPr>
        <w:ind w:left="0" w:right="0"/>
      </w:pPr>
      <w:r>
        <w:rPr>
          <w:b/>
          <w:bCs/>
        </w:rPr>
        <w:t xml:space="preserve">(2)</w:t>
      </w:r>
      <w:r>
        <w:rPr/>
        <w:t xml:space="preserve">  Jestliže insolvenční správce nedoporučil rozhodnout o splnění oddlužení, insolvenční soud v odůvodnění rozhodnutí uvede důvody, pro které splnění oddlužení vzal na vědomí.</w:t>
      </w:r>
    </w:p>
    <w:p>
      <w:pPr>
        <w:ind w:left="0" w:right="0"/>
      </w:pPr>
      <w:r>
        <w:rPr>
          <w:b/>
          <w:bCs/>
        </w:rPr>
        <w:t xml:space="preserve">(3)</w:t>
      </w:r>
      <w:r>
        <w:rPr/>
        <w:t xml:space="preserve">  Jestliže po podání zprávy insolvenčního správce o splnění oddlužení nejsou splněny podmínky pro vydání rozhodnutí o splnění oddlužení, insolvenční soud vydá rozhodnutí, ve kterém uloží dlužníku povinnost do doby podání nové zprávy o splnění oddlužení měsíčně splácet nezajištěným věřitelům ze svých příjmů částku obdobně podle § 398 odst. 3. Proti tomuto rozhodnutí může podat odvolání dlužník a insolvenční správce. Do nabytí právní moci tohoto rozhodnutí insolvenční správce příslušné částky uloží na zvláštní účet podle § 36 odst. 5.</w:t>
      </w:r>
    </w:p>
    <w:p>
      <w:pPr>
        <w:pStyle w:val="Heading4"/>
      </w:pPr>
      <w:r>
        <w:rPr>
          <w:b/>
          <w:bCs/>
        </w:rPr>
        <w:t xml:space="preserve">§ 414</w:t>
      </w:r>
      <w:r>
        <w:rPr>
          <w:rStyle w:val="hidden"/>
        </w:rPr>
        <w:t xml:space="preserve"> -</w:t>
      </w:r>
      <w:br/>
      <w:r>
        <w:rPr/>
        <w:t xml:space="preserve">Osvobození dlužníka od placení pohledávek</w:t>
      </w:r>
    </w:p>
    <w:p>
      <w:pPr>
        <w:ind w:left="0" w:right="0"/>
      </w:pPr>
      <w:r>
        <w:rPr>
          <w:b/>
          <w:bCs/>
        </w:rPr>
        <w:t xml:space="preserve">(1)</w:t>
      </w:r>
      <w:r>
        <w:rPr/>
        <w:t xml:space="preserve">  Jestliže insolvenční soud rozhodne o splnění oddlužení a dlužník splní řádně a včas všechny povinnosti podle schváleného způsobu oddlužení, spojí insolvenční soud s rozhodnutím o splnění oddlužení rozhodnutí, jímž dlužníka osvobodí od placení pohledávek, zahrnutých do oddlužení, v rozsahu, v němž dosud nebyly uspokojeny. Osvobození podle věty první se nevztahuje na pohledávky vzniklé po rozhodnutí o úpadku.</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jestliže nedošlo ke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jc w:val="center"/>
        <w:ind w:left="0" w:right="0"/>
      </w:pPr>
      <w:r>
        <w:rPr/>
        <w:t xml:space="preserve">zrušen zákonem č. </w:t>
      </w:r>
      <w:hyperlink r:id="rId24" w:history="1">
        <w:r>
          <w:rPr>
            <w:color w:val="darkblue"/>
            <w:u w:val="single"/>
          </w:rPr>
          <w:t xml:space="preserve">31/2019 Sb.</w:t>
        </w:r>
      </w:hyperlink>
      <w:r>
        <w:rPr/>
        <w:t xml:space="preserve"> (účinnost: 1. června 2019)</w:t>
      </w:r>
    </w:p>
    <w:p>
      <w:pPr>
        <w:pStyle w:val="Heading4"/>
      </w:pPr>
      <w:r>
        <w:rPr>
          <w:b/>
          <w:bCs/>
        </w:rPr>
        <w:t xml:space="preserve">§ 416</w:t>
      </w:r>
    </w:p>
    <w:p>
      <w:pPr>
        <w:ind w:left="0" w:right="0"/>
      </w:pPr>
      <w:r>
        <w:rPr>
          <w:b/>
          <w:bCs/>
        </w:rPr>
        <w:t xml:space="preserve">(1)</w:t>
      </w:r>
      <w:r>
        <w:rPr/>
        <w:t xml:space="preserve"> Osvobození podle </w:t>
      </w:r>
      <w:hyperlink r:id="rId25" w:history="1">
        <w:r>
          <w:rPr>
            <w:color w:val="darkblue"/>
            <w:u w:val="single"/>
          </w:rPr>
          <w:t xml:space="preserve">§ 414</w:t>
        </w:r>
      </w:hyperlink>
      <w:r>
        <w:rPr/>
        <w:t xml:space="preserve"> se nedotýká peněžitého trestu nebo jiné majetkové sankce, která byla dlužníku uložena v trestním řízení pro úmyslný trestný čin, pohledávek na náhradu škody způsobené úmyslným porušením právní povinnosti a dále pohledávek věřitelů na výživném ze zákona a pohledávek věřitelů na náhradu škody způsobené na zdraví.</w:t>
      </w:r>
    </w:p>
    <w:p>
      <w:pPr>
        <w:ind w:left="0" w:right="0"/>
      </w:pPr>
      <w:r>
        <w:rPr>
          <w:b/>
          <w:bCs/>
        </w:rPr>
        <w:t xml:space="preserve">(2)</w:t>
      </w:r>
      <w:r>
        <w:rPr/>
        <w:t xml:space="preserve">  Proti rozhodnutí, jímž insolvenční soud zamítl návrh dlužníka na přiznání osvobození podle § 414, se může odvolat pouze dlužník. Proti rozhodnutí, jímž insolvenční soud přizná dlužníku osvobození podle § 414, se může odvolat pouze věřitel, jehož pohledávka vůči dlužníku nebyla v insolvenčním řízení zcela uspokojena. Odvoláním však lze namítat pouze to, že nebyly splněny předpoklady pro přiznání osvobození dlužníku. Rozhodnutí o přiznání osvobození podle § 414 je účinné nejdříve účinností rozhodnutí o splnění oddlužení.</w:t>
      </w:r>
    </w:p>
    <w:p>
      <w:pPr>
        <w:pStyle w:val="Heading4"/>
      </w:pPr>
      <w:r>
        <w:rPr>
          <w:b/>
          <w:bCs/>
        </w:rPr>
        <w:t xml:space="preserve">§ 417</w:t>
      </w:r>
    </w:p>
    <w:p>
      <w:pPr>
        <w:ind w:left="0" w:right="0"/>
      </w:pPr>
      <w:r>
        <w:rPr>
          <w:b/>
          <w:bCs/>
        </w:rPr>
        <w:t xml:space="preserve">(1)</w:t>
      </w:r>
      <w:r>
        <w:rPr/>
        <w:t xml:space="preserve">  Osvobození podle </w:t>
      </w:r>
      <w:hyperlink r:id="rId25" w:history="1">
        <w:r>
          <w:rPr>
            <w:color w:val="darkblue"/>
            <w:u w:val="single"/>
          </w:rPr>
          <w:t xml:space="preserve">§ 414</w:t>
        </w:r>
      </w:hyperlink>
      <w:r>
        <w:rPr/>
        <w:t xml:space="preserve">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Odvolání proti rozhodnutí vydanému podle odstavců 1 až 3 může podat pouze dlužník a věřitel, jehož se zánik osvobození týká.</w:t>
      </w:r>
    </w:p>
    <w:p>
      <w:pPr>
        <w:pStyle w:val="Heading4"/>
      </w:pPr>
      <w:r>
        <w:rPr>
          <w:b/>
          <w:bCs/>
        </w:rPr>
        <w:t xml:space="preserve">§ 418</w:t>
      </w:r>
      <w:r>
        <w:rPr>
          <w:rStyle w:val="hidden"/>
        </w:rPr>
        <w:t xml:space="preserve"> -</w:t>
      </w:r>
      <w:br/>
      <w:r>
        <w:rPr/>
        <w:t xml:space="preserve">Zrušení schváleného oddlužení</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zaviněného jednání vznikl dlužníku po schválení oddlužení peněžitý závazek po dobu delší 30 dnů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není v důsledku okolností, které zavinil, po dobu delší než 3 měsíce schopen splácet v plné výši ani pohledávky podle § 395 odst. 1 písm. b), jestliže vznikly po rozhodnutí o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 a údajů o právnické osobě zapsané do veřejného rejstříku podle zvláštního právního předpisu</w:t>
      </w:r>
      <w:r>
        <w:rPr>
          <w:vertAlign w:val="superscript"/>
        </w:rPr>
        <w:t xml:space="preserve">70</w:t>
      </w:r>
      <w:r>
        <w:rPr/>
        <w:t xml:space="preserve">), jsou-li ve veřejném rejstříku podle zvláštního právního předpisu</w:t>
      </w:r>
      <w:r>
        <w:rPr>
          <w:vertAlign w:val="superscript"/>
        </w:rPr>
        <w:t xml:space="preserve">69</w:t>
      </w:r>
      <w:r>
        <w:rPr/>
        <w:t xml:space="preserve">) uchovávány v elektronické podobě</w:t>
      </w:r>
      <w:r>
        <w:rPr>
          <w:vertAlign w:val="superscript"/>
        </w:rPr>
        <w:t xml:space="preserve">71</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přestupku, za který jí byla uložena pokuta nejméně ve výši 5 000 Kč nebo sankce zákazu činnosti, s uvedením dne právní moci rozhodnutí o přestupku, označení přestupku,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přestupku,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přestupku,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přestupku,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přestupku, za který byla akreditované osobě uložena pokuta přesahující částku 75 000 Kč nebo sankce zákazu činnosti v délce trvání více než 2 roky;</w:t>
      </w:r>
    </w:p>
    <w:p>
      <w:pPr>
        <w:ind w:left="0" w:right="0"/>
      </w:pPr>
      <w:r>
        <w:rPr/>
        <w:t xml:space="preserve">rozhodnutím o přestupku se pro tyto účely rozumí i rozhodnutí o přestupku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přestupku,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Přestupky právnických osob</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přestupku tím, že nabídne nebo poskytne služby v oblasti oddlužení bez akreditace.</w:t>
      </w:r>
    </w:p>
    <w:p>
      <w:pPr>
        <w:ind w:left="0" w:right="0"/>
      </w:pPr>
      <w:r>
        <w:rPr>
          <w:b/>
          <w:bCs/>
        </w:rPr>
        <w:t xml:space="preserve">(3)</w:t>
      </w:r>
      <w:r>
        <w:rPr/>
        <w:t xml:space="preserve">  Právnická osoba se dopustí přestupku tím, že v rozporu s § 390a odst. 7 sama nebo prostřednictvím jiného za úplatu nebo jiné zvýhodnění obstará, zprostředkuje nebo nabídne obstarání či zprostředkování služby v oblasti oddlužení.</w:t>
      </w:r>
    </w:p>
    <w:p>
      <w:pPr>
        <w:ind w:left="0" w:right="0"/>
      </w:pPr>
      <w:r>
        <w:rPr>
          <w:b/>
          <w:bCs/>
        </w:rPr>
        <w:t xml:space="preserve">(4)</w:t>
      </w:r>
      <w:r>
        <w:rPr/>
        <w:t xml:space="preserve">  Za přestupek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lze uložit pokutu do 200 000 Kč nebo sankci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lze uložit pokutu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nebo 3 lze uložit pokutu do 500 000 Kč.</w:t>
      </w:r>
    </w:p>
    <w:p>
      <w:pPr>
        <w:pStyle w:val="Heading3"/>
      </w:pPr>
      <w:r>
        <w:rPr>
          <w:b/>
          <w:bCs/>
        </w:rPr>
        <w:t xml:space="preserve">§ 418k</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neoprávněně nabídne nebo poskytne služby v oblasti oddlužení.</w:t>
      </w:r>
    </w:p>
    <w:p>
      <w:pPr>
        <w:ind w:left="0" w:right="0"/>
      </w:pPr>
      <w:r>
        <w:rPr>
          <w:b/>
          <w:bCs/>
        </w:rPr>
        <w:t xml:space="preserve">(2)</w:t>
      </w:r>
      <w:r>
        <w:rPr/>
        <w:t xml:space="preserve">  Fyzická osoba se dopustí přestupku tím, že v rozporu s § 390a odst. 7 sama nebo prostřednictvím jiného za úplatu nebo jiné zvýhodnění obstará, zprostředkuje nebo nabídne obstarání či zprostředkování služby v oblasti oddlužení.</w:t>
      </w:r>
    </w:p>
    <w:p>
      <w:pPr>
        <w:ind w:left="0" w:right="0"/>
      </w:pPr>
      <w:r>
        <w:rPr>
          <w:b/>
          <w:bCs/>
        </w:rPr>
        <w:t xml:space="preserve">(3)</w:t>
      </w:r>
      <w:r>
        <w:rPr/>
        <w:t xml:space="preserve">  Za přestupek podle odstavce  1 nebo 2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b/>
          <w:bCs/>
        </w:rPr>
        <w:t xml:space="preserve">(1)</w:t>
      </w:r>
      <w:r>
        <w:rPr/>
        <w:t xml:space="preserve">  Přestupky podle § 418j a 418k projednává ministerstvo.</w:t>
      </w:r>
    </w:p>
    <w:p>
      <w:pPr>
        <w:ind w:left="0" w:right="0"/>
      </w:pPr>
      <w:r>
        <w:rPr>
          <w:b/>
          <w:bCs/>
        </w:rPr>
        <w:t xml:space="preserve">(2)</w:t>
      </w:r>
      <w:r>
        <w:rPr/>
        <w:t xml:space="preserve">  Pokuty vybírá a vymáhá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identifikační číslo, a nemá‑li identifikační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zrušen zákonem č. </w:t>
      </w:r>
      <w:hyperlink r:id="rId26"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a formuláře návrhu na vstup do insolvenčního řízení místo věřitele, soupisu, vyrozumění o uplatnění pohledávky za majetkovou podstatou nebo pohledávky jí postavené na roveň, seznamu přihlášených pohledávek, přihlášky pohledávek, hlasovacích lístků, návrhu na povolení oddlužení, záznamu o jednání insolvenčního správce s dlužníkem v oddlužení, zprávy o přezkumu, zprávy pro oddlužení, zprávy o plnění oddlužení, zprávy o splnění oddlužení, popření pohledávky přihlášeným věřitelem, konečné zprávy a zprávy o plnění reorganizačního plánu, dále náležitosti záznamu podle § 85, výzvy k podávání přihlášek pohledávek, vyrozumění o soupisu, reorganizačního plánu a zprávy o reorganizačním plánu a dále náležitosti manipulace s přihláškami pohledávek, pravidla pro jejich úschovu a nahlížení do nich,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určení hodnoty obydlí, které dlužník není povinen vydat ke zpeněžení.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7"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28" w:history="1">
        <w:r>
          <w:rPr>
            <w:color w:val="darkblue"/>
            <w:u w:val="single"/>
          </w:rPr>
          <w:t xml:space="preserve">122/1993 Sb.</w:t>
        </w:r>
      </w:hyperlink>
      <w:r>
        <w:rPr/>
        <w:t xml:space="preserve">, kterým se mění a doplňuje zákon č. </w:t>
      </w:r>
      <w:hyperlink r:id="rId27"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29" w:history="1">
        <w:r>
          <w:rPr>
            <w:color w:val="darkblue"/>
            <w:u w:val="single"/>
          </w:rPr>
          <w:t xml:space="preserve">12/1998 Sb.</w:t>
        </w:r>
      </w:hyperlink>
      <w:r>
        <w:rPr/>
        <w:t xml:space="preserve">, kterým se mění a doplňuje zákon č. </w:t>
      </w:r>
      <w:hyperlink r:id="rId27"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0" w:history="1">
        <w:r>
          <w:rPr>
            <w:color w:val="darkblue"/>
            <w:u w:val="single"/>
          </w:rPr>
          <w:t xml:space="preserve">214/2000 Sb.</w:t>
        </w:r>
      </w:hyperlink>
      <w:r>
        <w:rPr/>
        <w:t xml:space="preserve">, kterým se mění zákon č. </w:t>
      </w:r>
      <w:hyperlink r:id="rId27"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31" w:history="1">
        <w:r>
          <w:rPr>
            <w:color w:val="darkblue"/>
            <w:u w:val="single"/>
          </w:rPr>
          <w:t xml:space="preserve">368/2000 Sb.</w:t>
        </w:r>
      </w:hyperlink>
      <w:r>
        <w:rPr/>
        <w:t xml:space="preserve">, kterým se mění zákon č. </w:t>
      </w:r>
      <w:hyperlink r:id="rId32" w:history="1">
        <w:r>
          <w:rPr>
            <w:color w:val="darkblue"/>
            <w:u w:val="single"/>
          </w:rPr>
          <w:t xml:space="preserve">530/1990 Sb.</w:t>
        </w:r>
      </w:hyperlink>
      <w:r>
        <w:rPr/>
        <w:t xml:space="preserve">, o dluhopisech, ve znění pozdějších předpisů, a zákon č. </w:t>
      </w:r>
      <w:hyperlink r:id="rId27"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33"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52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9"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34" w:history="1">
        <w:r>
          <w:rPr>
            <w:color w:val="darkblue"/>
            <w:u w:val="single"/>
          </w:rPr>
          <w:t xml:space="preserve">1/1993 Sb.</w:t>
        </w:r>
      </w:hyperlink>
      <w:r>
        <w:rPr>
          <w:sz w:val="19.200000000000003"/>
          <w:szCs w:val="19.200000000000003"/>
        </w:rPr>
        <w:t xml:space="preserve">, Ústava České republiky, ve znění ústavního zákona č. </w:t>
      </w:r>
      <w:hyperlink r:id="rId35"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36"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37"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38"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38"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39"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40"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1"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42"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43"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44"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45"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45"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46"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47"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48"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49" w:history="1">
        <w:r>
          <w:rPr>
            <w:color w:val="darkblue"/>
            <w:u w:val="single"/>
          </w:rPr>
          <w:t xml:space="preserve">256/2004 Sb.</w:t>
        </w:r>
      </w:hyperlink>
      <w:r>
        <w:rPr>
          <w:sz w:val="19.200000000000003"/>
          <w:szCs w:val="19.200000000000003"/>
        </w:rPr>
        <w:t xml:space="preserve">, o podnikání na kapitálovém trhu, ve znění zákona č. </w:t>
      </w:r>
      <w:hyperlink r:id="rId50" w:history="1">
        <w:r>
          <w:rPr>
            <w:color w:val="darkblue"/>
            <w:u w:val="single"/>
          </w:rPr>
          <w:t xml:space="preserve">230/2008 Sb.</w:t>
        </w:r>
      </w:hyperlink>
      <w:r>
        <w:rPr>
          <w:sz w:val="19.200000000000003"/>
          <w:szCs w:val="19.200000000000003"/>
        </w:rPr>
        <w:t xml:space="preserve"> a zákona č. </w:t>
      </w:r>
      <w:hyperlink r:id="rId51"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52"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53"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54"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55" w:history="1">
        <w:r>
          <w:rPr>
            <w:color w:val="darkblue"/>
            <w:u w:val="single"/>
          </w:rPr>
          <w:t xml:space="preserve">§ 6</w:t>
        </w:r>
      </w:hyperlink>
      <w:r>
        <w:rPr>
          <w:sz w:val="19.200000000000003"/>
          <w:szCs w:val="19.200000000000003"/>
        </w:rPr>
        <w:t xml:space="preserve"> odst. 1 zákona č. </w:t>
      </w:r>
      <w:hyperlink r:id="rId56"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57" w:history="1">
        <w:r>
          <w:rPr>
            <w:color w:val="darkblue"/>
            <w:u w:val="single"/>
          </w:rPr>
          <w:t xml:space="preserve">§ 29</w:t>
        </w:r>
      </w:hyperlink>
      <w:r>
        <w:rPr>
          <w:sz w:val="19.200000000000003"/>
          <w:szCs w:val="19.200000000000003"/>
        </w:rPr>
        <w:t xml:space="preserve"> vyhlášky č. </w:t>
      </w:r>
      <w:hyperlink r:id="rId58"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59"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60"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11"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61"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62" w:history="1">
        <w:r>
          <w:rPr>
            <w:color w:val="darkblue"/>
            <w:u w:val="single"/>
          </w:rPr>
          <w:t xml:space="preserve">§ 321</w:t>
        </w:r>
      </w:hyperlink>
      <w:r>
        <w:rPr>
          <w:sz w:val="19.200000000000003"/>
          <w:szCs w:val="19.200000000000003"/>
        </w:rPr>
        <w:t xml:space="preserve">, </w:t>
      </w:r>
      <w:hyperlink r:id="rId63"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64"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65" w:history="1">
        <w:r>
          <w:rPr>
            <w:color w:val="darkblue"/>
            <w:u w:val="single"/>
          </w:rPr>
          <w:t xml:space="preserve">§ 31</w:t>
        </w:r>
      </w:hyperlink>
      <w:r>
        <w:rPr>
          <w:sz w:val="19.200000000000003"/>
          <w:szCs w:val="19.200000000000003"/>
        </w:rPr>
        <w:t xml:space="preserve"> odst. 6 a </w:t>
      </w:r>
      <w:hyperlink r:id="rId66" w:history="1">
        <w:r>
          <w:rPr>
            <w:color w:val="darkblue"/>
            <w:u w:val="single"/>
          </w:rPr>
          <w:t xml:space="preserve">§ 37a</w:t>
        </w:r>
      </w:hyperlink>
      <w:r>
        <w:rPr>
          <w:sz w:val="19.200000000000003"/>
          <w:szCs w:val="19.200000000000003"/>
        </w:rPr>
        <w:t xml:space="preserve"> zákona č. </w:t>
      </w:r>
      <w:hyperlink r:id="rId67"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68"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69"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0" w:history="1">
        <w:r>
          <w:rPr>
            <w:color w:val="darkblue"/>
            <w:u w:val="single"/>
          </w:rPr>
          <w:t xml:space="preserve">§ 2</w:t>
        </w:r>
      </w:hyperlink>
      <w:r>
        <w:rPr>
          <w:sz w:val="19.200000000000003"/>
          <w:szCs w:val="19.200000000000003"/>
        </w:rPr>
        <w:t xml:space="preserve"> zákona č. </w:t>
      </w:r>
      <w:hyperlink r:id="rId71"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72"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73" w:history="1">
        <w:r>
          <w:rPr>
            <w:color w:val="darkblue"/>
            <w:u w:val="single"/>
          </w:rPr>
          <w:t xml:space="preserve">§ 7b</w:t>
        </w:r>
      </w:hyperlink>
      <w:r>
        <w:rPr>
          <w:sz w:val="19.200000000000003"/>
          <w:szCs w:val="19.200000000000003"/>
        </w:rPr>
        <w:t xml:space="preserve"> odst. 1 písm. e) a f) zákona č. </w:t>
      </w:r>
      <w:hyperlink r:id="rId74"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5" w:history="1">
        <w:r>
          <w:rPr>
            <w:color w:val="darkblue"/>
            <w:u w:val="single"/>
          </w:rPr>
          <w:t xml:space="preserve">§ 8</w:t>
        </w:r>
      </w:hyperlink>
      <w:r>
        <w:rPr>
          <w:sz w:val="19.200000000000003"/>
          <w:szCs w:val="19.200000000000003"/>
        </w:rPr>
        <w:t xml:space="preserve"> zákona č. </w:t>
      </w:r>
      <w:hyperlink r:id="rId76"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77"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78"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79"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80"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81"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82" w:history="1">
        <w:r>
          <w:rPr>
            <w:color w:val="darkblue"/>
            <w:u w:val="single"/>
          </w:rPr>
          <w:t xml:space="preserve">§ 8</w:t>
        </w:r>
      </w:hyperlink>
      <w:r>
        <w:rPr>
          <w:sz w:val="19.200000000000003"/>
          <w:szCs w:val="19.200000000000003"/>
        </w:rPr>
        <w:t xml:space="preserve"> zákona č. </w:t>
      </w:r>
      <w:hyperlink r:id="rId83" w:history="1">
        <w:r>
          <w:rPr>
            <w:color w:val="darkblue"/>
            <w:u w:val="single"/>
          </w:rPr>
          <w:t xml:space="preserve">114/1995 Sb.</w:t>
        </w:r>
      </w:hyperlink>
      <w:r>
        <w:rPr>
          <w:sz w:val="19.200000000000003"/>
          <w:szCs w:val="19.200000000000003"/>
        </w:rPr>
        <w:t xml:space="preserve">, o vnitrozemské plavbě.</w:t>
      </w:r>
    </w:p>
    <w:p>
      <w:pPr>
        <w:ind w:left="560" w:right="0"/>
      </w:pPr>
      <w:hyperlink r:id="rId84" w:history="1">
        <w:r>
          <w:rPr>
            <w:color w:val="darkblue"/>
            <w:u w:val="single"/>
          </w:rPr>
          <w:t xml:space="preserve">§ 28</w:t>
        </w:r>
      </w:hyperlink>
      <w:r>
        <w:rPr>
          <w:sz w:val="19.200000000000003"/>
          <w:szCs w:val="19.200000000000003"/>
        </w:rPr>
        <w:t xml:space="preserve"> vyhlášky č. </w:t>
      </w:r>
      <w:hyperlink r:id="rId85"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17"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86"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87"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88"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89" w:history="1">
        <w:r>
          <w:rPr>
            <w:color w:val="darkblue"/>
            <w:u w:val="single"/>
          </w:rPr>
          <w:t xml:space="preserve">§ 24</w:t>
        </w:r>
      </w:hyperlink>
      <w:r>
        <w:rPr>
          <w:sz w:val="19.200000000000003"/>
          <w:szCs w:val="19.200000000000003"/>
        </w:rPr>
        <w:t xml:space="preserve"> odst. 2 písm. a) až c) zákona č. </w:t>
      </w:r>
      <w:hyperlink r:id="rId90"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91" w:history="1">
        <w:r>
          <w:rPr>
            <w:color w:val="darkblue"/>
            <w:u w:val="single"/>
          </w:rPr>
          <w:t xml:space="preserve">§ 29</w:t>
        </w:r>
      </w:hyperlink>
      <w:r>
        <w:rPr>
          <w:sz w:val="19.200000000000003"/>
          <w:szCs w:val="19.200000000000003"/>
        </w:rPr>
        <w:t xml:space="preserve"> odst. 4 písm. b) a odst. 5 zákona č. </w:t>
      </w:r>
      <w:hyperlink r:id="rId90"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49" w:history="1">
        <w:r>
          <w:rPr>
            <w:color w:val="darkblue"/>
            <w:u w:val="single"/>
          </w:rPr>
          <w:t xml:space="preserve">256/2004 Sb.</w:t>
        </w:r>
      </w:hyperlink>
      <w:r>
        <w:rPr>
          <w:sz w:val="19.200000000000003"/>
          <w:szCs w:val="19.200000000000003"/>
        </w:rPr>
        <w:t xml:space="preserve">, o podnikání na kapitálovém trhu, ve znění zákona č. </w:t>
      </w:r>
      <w:hyperlink r:id="rId92"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93" w:history="1">
        <w:r>
          <w:rPr>
            <w:color w:val="darkblue"/>
            <w:u w:val="single"/>
          </w:rPr>
          <w:t xml:space="preserve">2001/24/ES</w:t>
        </w:r>
      </w:hyperlink>
      <w:r>
        <w:rPr>
          <w:sz w:val="19.200000000000003"/>
          <w:szCs w:val="19.200000000000003"/>
        </w:rPr>
        <w:t xml:space="preserve"> ze dne 4. dubna 2001 o reorganizaci a likvidaci úvěrových institucí a směrnice Evropského parlamentu a Rady </w:t>
      </w:r>
      <w:hyperlink r:id="rId94" w:history="1">
        <w:r>
          <w:rPr>
            <w:color w:val="darkblue"/>
            <w:u w:val="single"/>
          </w:rPr>
          <w:t xml:space="preserve">(EU) 2017/2399</w:t>
        </w:r>
      </w:hyperlink>
      <w:r>
        <w:rPr>
          <w:sz w:val="19.200000000000003"/>
          <w:szCs w:val="19.200000000000003"/>
        </w:rPr>
        <w:t xml:space="preserve"> ze dne 12. prosince 2017, kterou se mění směrnice </w:t>
      </w:r>
      <w:hyperlink r:id="rId95" w:history="1">
        <w:r>
          <w:rPr>
            <w:color w:val="darkblue"/>
            <w:u w:val="single"/>
          </w:rPr>
          <w:t xml:space="preserve">2014/59/EU</w:t>
        </w:r>
      </w:hyperlink>
      <w:r>
        <w:rPr>
          <w:sz w:val="19.200000000000003"/>
          <w:szCs w:val="19.200000000000003"/>
        </w:rPr>
        <w:t xml:space="preserve">, pokud jde o pořadí nezajištěných dluhových nástrojů v insolvenční hierarchii.</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96" w:history="1">
        <w:r>
          <w:rPr>
            <w:color w:val="darkblue"/>
            <w:u w:val="single"/>
          </w:rPr>
          <w:t xml:space="preserve">§ 5a</w:t>
        </w:r>
      </w:hyperlink>
      <w:r>
        <w:rPr>
          <w:sz w:val="19.200000000000003"/>
          <w:szCs w:val="19.200000000000003"/>
        </w:rPr>
        <w:t xml:space="preserve"> až 7a zákona č. </w:t>
      </w:r>
      <w:hyperlink r:id="rId97"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98"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99"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00" w:history="1">
        <w:r>
          <w:rPr>
            <w:color w:val="darkblue"/>
            <w:u w:val="single"/>
          </w:rPr>
          <w:t xml:space="preserve">§ 5c</w:t>
        </w:r>
      </w:hyperlink>
      <w:r>
        <w:rPr>
          <w:sz w:val="19.200000000000003"/>
          <w:szCs w:val="19.200000000000003"/>
        </w:rPr>
        <w:t xml:space="preserve"> zákona č. </w:t>
      </w:r>
      <w:hyperlink r:id="rId101"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102"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103" w:history="1">
        <w:r>
          <w:rPr>
            <w:color w:val="darkblue"/>
            <w:u w:val="single"/>
          </w:rPr>
          <w:t xml:space="preserve">§ 5a</w:t>
        </w:r>
      </w:hyperlink>
      <w:r>
        <w:rPr>
          <w:sz w:val="19.200000000000003"/>
          <w:szCs w:val="19.200000000000003"/>
        </w:rPr>
        <w:t xml:space="preserve"> odst. 1 zákona č. </w:t>
      </w:r>
      <w:hyperlink r:id="rId101" w:history="1">
        <w:r>
          <w:rPr>
            <w:color w:val="darkblue"/>
            <w:u w:val="single"/>
          </w:rPr>
          <w:t xml:space="preserve">363/1999 Sb.</w:t>
        </w:r>
      </w:hyperlink>
      <w:r>
        <w:rPr>
          <w:sz w:val="19.200000000000003"/>
          <w:szCs w:val="19.200000000000003"/>
        </w:rPr>
        <w:t xml:space="preserve">, ve znění zákona č. </w:t>
      </w:r>
      <w:hyperlink r:id="rId102"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101"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04"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105"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40"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104"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106"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49"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107"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44"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87"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108"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09"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110"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111"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112"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111"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111" w:history="1">
        <w:r>
          <w:rPr>
            <w:color w:val="darkblue"/>
            <w:u w:val="single"/>
          </w:rPr>
          <w:t xml:space="preserve">304/2013 Sb.</w:t>
        </w:r>
      </w:hyperlink>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1190 zákona č. </w:t>
      </w:r>
      <w:hyperlink r:id="rId113" w:history="1">
        <w:r>
          <w:rPr>
            <w:color w:val="darkblue"/>
            <w:u w:val="single"/>
          </w:rPr>
          <w:t xml:space="preserve">89/2012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73)</w:t>
      </w:r>
      <w:r>
        <w:rPr/>
        <w:t xml:space="preserve">	</w:t>
      </w:r>
      <w:hyperlink r:id="rId114" w:history="1">
        <w:r>
          <w:rPr>
            <w:color w:val="darkblue"/>
            <w:u w:val="single"/>
          </w:rPr>
          <w:t xml:space="preserve">§ 16b</w:t>
        </w:r>
      </w:hyperlink>
      <w:r>
        <w:rPr>
          <w:sz w:val="19.200000000000003"/>
          <w:szCs w:val="19.200000000000003"/>
        </w:rPr>
        <w:t xml:space="preserve"> zákona č. </w:t>
      </w:r>
      <w:hyperlink r:id="rId44"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hyperlink r:id="rId115" w:history="1">
        <w:r>
          <w:rPr>
            <w:color w:val="darkblue"/>
            <w:u w:val="single"/>
          </w:rPr>
          <w:t xml:space="preserve">§ 39</w:t>
        </w:r>
      </w:hyperlink>
      <w:r>
        <w:rPr>
          <w:sz w:val="19.200000000000003"/>
          <w:szCs w:val="19.200000000000003"/>
        </w:rPr>
        <w:t xml:space="preserve"> odst. 2 písm. b) a c) zákona č. </w:t>
      </w:r>
      <w:hyperlink r:id="rId116" w:history="1">
        <w:r>
          <w:rPr>
            <w:color w:val="darkblue"/>
            <w:u w:val="single"/>
          </w:rPr>
          <w:t xml:space="preserve">155/1995 Sb.</w:t>
        </w:r>
      </w:hyperlink>
      <w:r>
        <w:rPr>
          <w:sz w:val="19.200000000000003"/>
          <w:szCs w:val="19.200000000000003"/>
        </w:rPr>
        <w:t xml:space="preserve">, o důchodovém pojištění, ve znění pozdějších předpisů.</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12"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12"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12"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12"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12"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64/2017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2"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12"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12"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12"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12"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p>
      <w:pPr>
        <w:pStyle w:val="Heading1"/>
      </w:pPr>
      <w:r>
        <w:rPr>
          <w:b/>
          <w:bCs/>
        </w:rPr>
        <w:t xml:space="preserve">ČÁST OSMÁ (Čl. XII) zákona č. 307/2018 Sb. zní:</w:t>
      </w:r>
    </w:p>
    <w:p>
      <w:pPr>
        <w:pStyle w:val="Heading2"/>
      </w:pPr>
      <w:r>
        <w:rPr>
          <w:b/>
          <w:bCs/>
        </w:rPr>
        <w:t xml:space="preserve">Čl. XII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Insolvenční řízení, které nebylo přede dnem nabytí účinnosti tohoto zákona pravomocně ukončeno, se dokončí podle zákona č. </w:t>
      </w:r>
      <w:hyperlink r:id="rId12"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vztahu k hypotečním zástavním listům podle </w:t>
      </w:r>
      <w:hyperlink r:id="rId117" w:history="1">
        <w:r>
          <w:rPr>
            <w:color w:val="darkblue"/>
            <w:u w:val="single"/>
          </w:rPr>
          <w:t xml:space="preserve">§ 28</w:t>
        </w:r>
      </w:hyperlink>
      <w:r>
        <w:rPr/>
        <w:t xml:space="preserve"> odst. 1 zákona č. </w:t>
      </w:r>
      <w:hyperlink r:id="rId61" w:history="1">
        <w:r>
          <w:rPr>
            <w:color w:val="darkblue"/>
            <w:u w:val="single"/>
          </w:rPr>
          <w:t xml:space="preserve">190/2004 Sb.</w:t>
        </w:r>
      </w:hyperlink>
      <w:r>
        <w:rPr/>
        <w:t xml:space="preserve">, o dluhopisech ve znění účinném přede dnem nabytí účinnosti tohoto zákona, jejichž datum emise předchází dni nabytí účinnosti tohoto zákona a které se nepovažují za kryté dluhopisy podle zákona č. </w:t>
      </w:r>
      <w:hyperlink r:id="rId61" w:history="1">
        <w:r>
          <w:rPr>
            <w:color w:val="darkblue"/>
            <w:u w:val="single"/>
          </w:rPr>
          <w:t xml:space="preserve">190/2004 Sb.</w:t>
        </w:r>
      </w:hyperlink>
      <w:r>
        <w:rPr/>
        <w:t xml:space="preserve">, ve znění účinném ode dne nabytí účinnosti tohoto zákona, se postupuje podle </w:t>
      </w:r>
      <w:r>
        <w:rPr/>
        <w:t xml:space="preserve">§ 375</w:t>
      </w:r>
      <w:r>
        <w:rPr/>
        <w:t xml:space="preserve"> zákona č. </w:t>
      </w:r>
      <w:hyperlink r:id="rId12"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stanovení pořadí uspokojování nezajištěných pohledávek z dluhových nástrojů vydaných osobou, která je povinnou osobou podle zákona upravujícího ozdravné postupy a řešení krize na finančním trhu, přede dnem nabytí účinnosti tohoto zákona, se použijí dosavadní právní předpisy.</w:t>
      </w:r>
    </w:p>
    <w:p>
      <w:pPr>
        <w:pStyle w:val="Heading1"/>
      </w:pPr>
      <w:r>
        <w:rPr>
          <w:b/>
          <w:bCs/>
        </w:rPr>
        <w:t xml:space="preserve">ČÁST DESÁTÁ (Čl. XVIII) zákona č. 80/2019 Sb. zní:</w:t>
      </w:r>
    </w:p>
    <w:p>
      <w:pPr>
        <w:pStyle w:val="Heading2"/>
      </w:pPr>
      <w:r>
        <w:rPr>
          <w:b/>
          <w:bCs/>
        </w:rPr>
        <w:t xml:space="preserve">Čl. XVIII</w:t>
      </w:r>
      <w:r>
        <w:rPr>
          <w:rStyle w:val="hidden"/>
        </w:rPr>
        <w:t xml:space="preserve"> -</w:t>
      </w:r>
      <w:br/>
      <w:r>
        <w:rPr/>
        <w:t xml:space="preserve">Přechodné ustanovení</w:t>
      </w:r>
    </w:p>
    <w:p>
      <w:pPr>
        <w:ind w:left="0" w:right="0"/>
      </w:pPr>
      <w:r>
        <w:rPr/>
        <w:t xml:space="preserve">Insolvenční řízení pravomocně neskončená přede dnem nabytí účinnosti tohoto zákona se dokončí podle zákona č. </w:t>
      </w:r>
      <w:hyperlink r:id="rId12" w:history="1">
        <w:r>
          <w:rPr>
            <w:color w:val="darkblue"/>
            <w:u w:val="single"/>
          </w:rPr>
          <w:t xml:space="preserve">182/2006 Sb.</w:t>
        </w:r>
      </w:hyperlink>
      <w:r>
        <w:rPr/>
        <w:t xml:space="preserve">, ve znění účinném přede dnem nabytí účinnosti tohoto zákona.</w:t>
      </w:r>
    </w:p>
    <w:p>
      <w:pPr>
        <w:pStyle w:val="Heading1"/>
      </w:pPr>
      <w:r>
        <w:rPr>
          <w:b/>
          <w:bCs/>
        </w:rPr>
        <w:t xml:space="preserve">ČÁST PRVNÍ (Čl. II) a ČÁST (ŠESTÁ) zákona č. 31/2019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přede dnem nabytí účinnosti tohoto zákona, se postupuje podle zákona č. </w:t>
      </w:r>
      <w:hyperlink r:id="rId12" w:history="1">
        <w:r>
          <w:rPr>
            <w:color w:val="darkblue"/>
            <w:u w:val="single"/>
          </w:rPr>
          <w:t xml:space="preserve">182/2006 Sb.</w:t>
        </w:r>
      </w:hyperlink>
      <w:r>
        <w:rPr/>
        <w:t xml:space="preserve">, ve znění účinném přede dnem nabytí účinnosti tohoto zákona.</w:t>
      </w:r>
    </w:p>
    <w:p>
      <w:pPr>
        <w:pStyle w:val="Heading3"/>
      </w:pPr>
      <w:r>
        <w:rPr>
          <w:b/>
          <w:bCs/>
          <w:caps/>
        </w:rPr>
        <w:t xml:space="preserve">Část šestá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prvním dnem čtvrtého kalendářního měsíce následujícího po dni jeho vyhlášení, s výjimkou ustanovení části první čl. I bodů 25 a 34, které nabývají účinnosti prvním dnem čtyřicátého kalendářního měsíce následujícího po dni jeho vyhlášení, s výjimkou části třetí, která nabývá účinnosti dnem 1. listopadu 2019, a s výjimkou části páté, která nabývá účinnosti dnem jeho vyhlášení.</w:t>
      </w:r>
    </w:p>
    <w:p>
      <w:pPr>
        <w:pStyle w:val="Heading1"/>
      </w:pPr>
      <w:r>
        <w:rPr>
          <w:b/>
          <w:bCs/>
        </w:rPr>
        <w:t xml:space="preserve">Čl. II zákona č. 230/2019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po 31. květnu 2019, se ode dne nabytí účinnosti tohoto zákona postupuje podle zákona č. </w:t>
      </w:r>
      <w:hyperlink r:id="rId12" w:history="1">
        <w:r>
          <w:rPr>
            <w:color w:val="darkblue"/>
            <w:u w:val="single"/>
          </w:rPr>
          <w:t xml:space="preserve">182/2006 Sb.</w:t>
        </w:r>
      </w:hyperlink>
      <w:r>
        <w:rPr/>
        <w:t xml:space="preserve">, ve znění účinném po dni nabytí účinnosti tohoto zákona.</w:t>
      </w:r>
    </w:p>
    <w:sectPr>
      <w:headerReference w:type="default" r:id="rId118"/>
      <w:footerReference w:type="default" r:id="rId11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230/2019 Sb. z </w:t>
          </w:r>
          <w:r>
            <w:rPr>
              <w:rStyle w:val="bold"/>
            </w:rPr>
            <w:t xml:space="preserve">1. 10. 2019</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18s287#C01_H04_P043" TargetMode="External"/><Relationship Id="rId9" Type="http://schemas.openxmlformats.org/officeDocument/2006/relationships/hyperlink" Target="https://esipa.cz/sbirka/sbsrv.dll/sb?DR=AZ&amp;CP=2006s312-2011s428#C01_H02_P003" TargetMode="External"/><Relationship Id="rId10" Type="http://schemas.openxmlformats.org/officeDocument/2006/relationships/hyperlink" Target="https://esipa.cz/sbirka/sbsrv.dll/sb?DR=AZ&amp;CP=2006s312-2017s183#C01_H02_P003" TargetMode="External"/><Relationship Id="rId11" Type="http://schemas.openxmlformats.org/officeDocument/2006/relationships/hyperlink" Target="https://esipa.cz/sbirka/sbsrv.dll/sb?DR=AZ&amp;CP=1963s099-2007s296#C01_H04_P043" TargetMode="External"/><Relationship Id="rId12" Type="http://schemas.openxmlformats.org/officeDocument/2006/relationships/hyperlink" Target="https://esipa.cz/sbirka/sbsrv.dll/sb?DR=SB&amp;CP=2006s182" TargetMode="External"/><Relationship Id="rId13" Type="http://schemas.openxmlformats.org/officeDocument/2006/relationships/hyperlink" Target="https://esipa.cz/sbirka/sbsrv.dll/sb?DR=AZ&amp;CP=1963s099-2016s298#C01_H04_P043" TargetMode="External"/><Relationship Id="rId14" Type="http://schemas.openxmlformats.org/officeDocument/2006/relationships/hyperlink" Target="https://esipa.cz/sbirka/sbsrv.dll/sb?DR=AZ&amp;CP=1963s099-2007s296#C04_H01_P219A" TargetMode="External"/><Relationship Id="rId15" Type="http://schemas.openxmlformats.org/officeDocument/2006/relationships/hyperlink" Target="https://esipa.cz/sbirka/sbsrv.dll/sb?DR=SB&amp;CP=2007s296" TargetMode="External"/><Relationship Id="rId16" Type="http://schemas.openxmlformats.org/officeDocument/2006/relationships/hyperlink" Target="https://esipa.cz/sbirka/sbsrv.dll/sb?DR=AZ&amp;CP=2012s089-2018s171#C04_H02_D02_OD03_P2254" TargetMode="External"/><Relationship Id="rId17" Type="http://schemas.openxmlformats.org/officeDocument/2006/relationships/hyperlink" Target="https://esipa.cz/sbirka/sbsrv.dll/sb?DR=SB&amp;CP=2013s294" TargetMode="External"/><Relationship Id="rId18" Type="http://schemas.openxmlformats.org/officeDocument/2006/relationships/hyperlink" Target="https://esipa.cz/sbirka/sbsrv.dll/sb?CP=2008s056&amp;DR=SB#C01_H03_P080%23C01_H03_P080" TargetMode="External"/><Relationship Id="rId19" Type="http://schemas.openxmlformats.org/officeDocument/2006/relationships/hyperlink" Target="https://esipa.cz/sbirka/sbsrv.dll/sb?DR=SB&amp;CP=2011s139" TargetMode="External"/><Relationship Id="rId20" Type="http://schemas.openxmlformats.org/officeDocument/2006/relationships/hyperlink" Target="https://esipa.cz/sbirka/sbsrv.dll/sb?CP=2008s056&amp;DR=SB#C02_H04_D001_OD001_P367%23C02_H04_D001_OD001_P367" TargetMode="External"/><Relationship Id="rId21" Type="http://schemas.openxmlformats.org/officeDocument/2006/relationships/hyperlink" Target="https://esipa.cz/sbirka/sbsrv.dll/sb?CP=2008s056&amp;DR=SB#C01_H04_D001_P097%23C01_H04_D001_P097" TargetMode="External"/><Relationship Id="rId22" Type="http://schemas.openxmlformats.org/officeDocument/2006/relationships/hyperlink" Target="https://esipa.cz/sbirka/sbsrv.dll/sb?DR=AZ&amp;CP=1992s021-2017s371#C14_P041H" TargetMode="External"/><Relationship Id="rId23" Type="http://schemas.openxmlformats.org/officeDocument/2006/relationships/hyperlink" Target="https://esipa.cz/sbirka/sbsrv.dll/sb?DR=AZ&amp;CP=2015s374-2017s183#C09_H02_P221" TargetMode="External"/><Relationship Id="rId24" Type="http://schemas.openxmlformats.org/officeDocument/2006/relationships/hyperlink" Target="https://esipa.cz/sbirka/sbsrv.dll/sb?DR=SB&amp;CP=2019s031" TargetMode="External"/><Relationship Id="rId25" Type="http://schemas.openxmlformats.org/officeDocument/2006/relationships/hyperlink" Target="https://esipa.cz/sbirka/sbsrv.dll/sb?CP=2008s056&amp;DR=SB#C02_H05_P414%23C02_H05_P414" TargetMode="External"/><Relationship Id="rId26" Type="http://schemas.openxmlformats.org/officeDocument/2006/relationships/hyperlink" Target="https://esipa.cz/sbirka/sbsrv.dll/sb?DR=SB&amp;CP=2017s064" TargetMode="External"/><Relationship Id="rId27" Type="http://schemas.openxmlformats.org/officeDocument/2006/relationships/hyperlink" Target="https://esipa.cz/sbirka/sbsrv.dll/sb?DR=SB&amp;CP=1991s328" TargetMode="External"/><Relationship Id="rId28" Type="http://schemas.openxmlformats.org/officeDocument/2006/relationships/hyperlink" Target="https://esipa.cz/sbirka/sbsrv.dll/sb?DR=SB&amp;CP=1993s122" TargetMode="External"/><Relationship Id="rId29" Type="http://schemas.openxmlformats.org/officeDocument/2006/relationships/hyperlink" Target="https://esipa.cz/sbirka/sbsrv.dll/sb?DR=SB&amp;CP=1998s012" TargetMode="External"/><Relationship Id="rId30" Type="http://schemas.openxmlformats.org/officeDocument/2006/relationships/hyperlink" Target="https://esipa.cz/sbirka/sbsrv.dll/sb?DR=SB&amp;CP=2000s214" TargetMode="External"/><Relationship Id="rId31" Type="http://schemas.openxmlformats.org/officeDocument/2006/relationships/hyperlink" Target="https://esipa.cz/sbirka/sbsrv.dll/sb?DR=SB&amp;CP=2000s368" TargetMode="External"/><Relationship Id="rId32" Type="http://schemas.openxmlformats.org/officeDocument/2006/relationships/hyperlink" Target="https://esipa.cz/sbirka/sbsrv.dll/sb?DR=SB&amp;CP=1990s530" TargetMode="External"/><Relationship Id="rId33" Type="http://schemas.openxmlformats.org/officeDocument/2006/relationships/hyperlink" Target="https://esipa.cz/sbirka/sbsrv.dll/sb?DR=SB&amp;CP=1991s476" TargetMode="External"/><Relationship Id="rId34" Type="http://schemas.openxmlformats.org/officeDocument/2006/relationships/hyperlink" Target="https://esipa.cz/sbirka/sbsrv.dll/sb?DR=SB&amp;CP=1993s001" TargetMode="External"/><Relationship Id="rId35" Type="http://schemas.openxmlformats.org/officeDocument/2006/relationships/hyperlink" Target="https://esipa.cz/sbirka/sbsrv.dll/sb?DR=SB&amp;CP=1997s347" TargetMode="External"/><Relationship Id="rId36" Type="http://schemas.openxmlformats.org/officeDocument/2006/relationships/hyperlink" Target="https://esipa.cz/sbirka/sbsrv.dll/sb?DR=SB&amp;CP=2011s466" TargetMode="External"/><Relationship Id="rId37" Type="http://schemas.openxmlformats.org/officeDocument/2006/relationships/hyperlink" Target="https://esipa.cz/sbirka/sbsrv.dll/sb?DR=SB&amp;CP=1992s280" TargetMode="External"/><Relationship Id="rId38" Type="http://schemas.openxmlformats.org/officeDocument/2006/relationships/hyperlink" Target="https://esipa.cz/sbirka/sbsrv.dll/sb?DR=AZ&amp;CP=1963s099-2007s296#C03_H01_P092" TargetMode="External"/><Relationship Id="rId39" Type="http://schemas.openxmlformats.org/officeDocument/2006/relationships/hyperlink" Target="https://esipa.cz/sbirka/sbsrv.dll/sb?DR=AZ&amp;CP=1963s099-2007s296#C03_H02_P134" TargetMode="External"/><Relationship Id="rId40" Type="http://schemas.openxmlformats.org/officeDocument/2006/relationships/hyperlink" Target="https://esipa.cz/sbirka/sbsrv.dll/sb?DR=SB&amp;CP=2006s312" TargetMode="External"/><Relationship Id="rId41" Type="http://schemas.openxmlformats.org/officeDocument/2006/relationships/hyperlink" Target="https://esipa.cz/sbirka/sbsrv.dll/sb?DR=SB&amp;CP=2004s235" TargetMode="External"/><Relationship Id="rId42" Type="http://schemas.openxmlformats.org/officeDocument/2006/relationships/hyperlink" Target="https://esipa.cz/sbirka/sbsrv.dll/sb?DR=SB&amp;CP=2000s458" TargetMode="External"/><Relationship Id="rId43" Type="http://schemas.openxmlformats.org/officeDocument/2006/relationships/hyperlink" Target="https://esipa.cz/sbirka/sbsrv.dll/sb?DR=AZ&amp;CP=1964s040-2007s296#C02_H02_P137" TargetMode="External"/><Relationship Id="rId44" Type="http://schemas.openxmlformats.org/officeDocument/2006/relationships/hyperlink" Target="https://esipa.cz/sbirka/sbsrv.dll/sb?DR=SB&amp;CP=1992s586" TargetMode="External"/><Relationship Id="rId45" Type="http://schemas.openxmlformats.org/officeDocument/2006/relationships/hyperlink" Target="https://esipa.cz/sbirka/sbsrv.dll/sb?DR=SB&amp;CP=2007s362" TargetMode="External"/><Relationship Id="rId46" Type="http://schemas.openxmlformats.org/officeDocument/2006/relationships/hyperlink" Target="https://esipa.cz/sbirka/sbsrv.dll/sb?DR=AZ&amp;CP=1991s513-2007s296#C01_H03_P038I" TargetMode="External"/><Relationship Id="rId47" Type="http://schemas.openxmlformats.org/officeDocument/2006/relationships/hyperlink" Target="https://esipa.cz/sbirka/sbsrv.dll/sb?DR=SB&amp;CP=2008s300" TargetMode="External"/><Relationship Id="rId48" Type="http://schemas.openxmlformats.org/officeDocument/2006/relationships/hyperlink" Target="https://esipa.cz/sbirka/sbsrv.dll/sb?DR=AZ&amp;CP=1963s099-2007s296#C01_H04_P053" TargetMode="External"/><Relationship Id="rId49" Type="http://schemas.openxmlformats.org/officeDocument/2006/relationships/hyperlink" Target="https://esipa.cz/sbirka/sbsrv.dll/sb?DR=SB&amp;CP=2004s256" TargetMode="External"/><Relationship Id="rId50" Type="http://schemas.openxmlformats.org/officeDocument/2006/relationships/hyperlink" Target="https://esipa.cz/sbirka/sbsrv.dll/sb?DR=SB&amp;CP=2008s230" TargetMode="External"/><Relationship Id="rId51" Type="http://schemas.openxmlformats.org/officeDocument/2006/relationships/hyperlink" Target="https://esipa.cz/sbirka/sbsrv.dll/sb?DR=SB&amp;CP=2011s188" TargetMode="External"/><Relationship Id="rId52" Type="http://schemas.openxmlformats.org/officeDocument/2006/relationships/hyperlink" Target="https://esipa.cz/sbirka/sbsrv.dll/sb?DR=AZ&amp;CP=1963s099-2007s296#C02_H02_P076" TargetMode="External"/><Relationship Id="rId53" Type="http://schemas.openxmlformats.org/officeDocument/2006/relationships/hyperlink" Target="https://esipa.cz/sbirka/sbsrv.dll/sb?DR=AZ&amp;CP=1963s099-2007s296#C01_H04_P042" TargetMode="External"/><Relationship Id="rId54" Type="http://schemas.openxmlformats.org/officeDocument/2006/relationships/hyperlink" Target="https://esipa.cz/sbirka/sbsrv.dll/sb?DR=AZ&amp;CP=1991s513-2007s296#C02_H01_D01_P066A" TargetMode="External"/><Relationship Id="rId55" Type="http://schemas.openxmlformats.org/officeDocument/2006/relationships/hyperlink" Target="https://esipa.cz/sbirka/sbsrv.dll/sb?DR=AZ&amp;CP=1988s061-2007s296#C02_OD02_P006" TargetMode="External"/><Relationship Id="rId56" Type="http://schemas.openxmlformats.org/officeDocument/2006/relationships/hyperlink" Target="https://esipa.cz/sbirka/sbsrv.dll/sb?DR=SB&amp;CP=1988s061" TargetMode="External"/><Relationship Id="rId57" Type="http://schemas.openxmlformats.org/officeDocument/2006/relationships/hyperlink" Target="https://esipa.cz/sbirka/sbsrv.dll/sb?DR=AZ&amp;CP=1967s037-2002s432#C04_P029" TargetMode="External"/><Relationship Id="rId58" Type="http://schemas.openxmlformats.org/officeDocument/2006/relationships/hyperlink" Target="https://esipa.cz/sbirka/sbsrv.dll/sb?DR=SB&amp;CP=1967s037" TargetMode="External"/><Relationship Id="rId59" Type="http://schemas.openxmlformats.org/officeDocument/2006/relationships/hyperlink" Target="https://esipa.cz/sbirka/sbsrv.dll/sb?DR=SB&amp;CP=1993s077" TargetMode="External"/><Relationship Id="rId60" Type="http://schemas.openxmlformats.org/officeDocument/2006/relationships/hyperlink" Target="https://esipa.cz/sbirka/sbsrv.dll/sb?DR=AZ&amp;CP=1963s099-2007s296#C03_H01_P079" TargetMode="External"/><Relationship Id="rId61" Type="http://schemas.openxmlformats.org/officeDocument/2006/relationships/hyperlink" Target="https://esipa.cz/sbirka/sbsrv.dll/sb?DR=SB&amp;CP=2004s190" TargetMode="External"/><Relationship Id="rId62" Type="http://schemas.openxmlformats.org/officeDocument/2006/relationships/hyperlink" Target="https://esipa.cz/sbirka/sbsrv.dll/sb?DR=AZ&amp;CP=1963s099-2007s296#C06_H05_P321" TargetMode="External"/><Relationship Id="rId63" Type="http://schemas.openxmlformats.org/officeDocument/2006/relationships/hyperlink" Target="https://esipa.cz/sbirka/sbsrv.dll/sb?DR=AZ&amp;CP=1963s099-2007s296#C06_H05_P322" TargetMode="External"/><Relationship Id="rId64" Type="http://schemas.openxmlformats.org/officeDocument/2006/relationships/hyperlink" Target="https://esipa.cz/sbirka/sbsrv.dll/sb?DR=AZ&amp;CP=1963s099-2007s296#C06_H02_P279" TargetMode="External"/><Relationship Id="rId65" Type="http://schemas.openxmlformats.org/officeDocument/2006/relationships/hyperlink" Target="https://esipa.cz/sbirka/sbsrv.dll/sb?DR=AZ&amp;CP=1988s044-2007s296#C07_P031" TargetMode="External"/><Relationship Id="rId66" Type="http://schemas.openxmlformats.org/officeDocument/2006/relationships/hyperlink" Target="https://esipa.cz/sbirka/sbsrv.dll/sb?DR=AZ&amp;CP=1988s044-2007s296#C09_P037A" TargetMode="External"/><Relationship Id="rId67" Type="http://schemas.openxmlformats.org/officeDocument/2006/relationships/hyperlink" Target="https://esipa.cz/sbirka/sbsrv.dll/sb?DR=SB&amp;CP=1988s044" TargetMode="External"/><Relationship Id="rId68" Type="http://schemas.openxmlformats.org/officeDocument/2006/relationships/hyperlink" Target="https://esipa.cz/sbirka/sbsrv.dll/sb?DR=SB&amp;CP=2000s219" TargetMode="External"/><Relationship Id="rId69" Type="http://schemas.openxmlformats.org/officeDocument/2006/relationships/hyperlink" Target="https://esipa.cz/sbirka/sbsrv.dll/sb?DR=AZ&amp;CP=1991s513-2007s296#C01_H01_D02_P005" TargetMode="External"/><Relationship Id="rId70" Type="http://schemas.openxmlformats.org/officeDocument/2006/relationships/hyperlink" Target="https://esipa.cz/sbirka/sbsrv.dll/sb?DR=AZ&amp;CP=1987s020-2007s158#C01_P002" TargetMode="External"/><Relationship Id="rId71" Type="http://schemas.openxmlformats.org/officeDocument/2006/relationships/hyperlink" Target="https://esipa.cz/sbirka/sbsrv.dll/sb?DR=SB&amp;CP=1987s020" TargetMode="External"/><Relationship Id="rId72" Type="http://schemas.openxmlformats.org/officeDocument/2006/relationships/hyperlink" Target="https://esipa.cz/sbirka/sbsrv.dll/sb?DR=AZ&amp;CP=1991s513-2007s296#C02_H01_D01_P058" TargetMode="External"/><Relationship Id="rId73" Type="http://schemas.openxmlformats.org/officeDocument/2006/relationships/hyperlink" Target="https://esipa.cz/sbirka/sbsrv.dll/sb?DR=AZ&amp;CP=1996s085-2007s296#C02_H01_P007B" TargetMode="External"/><Relationship Id="rId74" Type="http://schemas.openxmlformats.org/officeDocument/2006/relationships/hyperlink" Target="https://esipa.cz/sbirka/sbsrv.dll/sb?DR=SB&amp;CP=1996s085" TargetMode="External"/><Relationship Id="rId75" Type="http://schemas.openxmlformats.org/officeDocument/2006/relationships/hyperlink" Target="https://esipa.cz/sbirka/sbsrv.dll/sb?DR=AZ&amp;CP=1991s455-2007s296#C01_H02_P008" TargetMode="External"/><Relationship Id="rId76" Type="http://schemas.openxmlformats.org/officeDocument/2006/relationships/hyperlink" Target="https://esipa.cz/sbirka/sbsrv.dll/sb?DR=SB&amp;CP=1991s455" TargetMode="External"/><Relationship Id="rId77" Type="http://schemas.openxmlformats.org/officeDocument/2006/relationships/hyperlink" Target="https://esipa.cz/sbirka/sbsrv.dll/sb?DR=AZ&amp;CP=1963s099-2007s296#C03_H01_P091" TargetMode="External"/><Relationship Id="rId78" Type="http://schemas.openxmlformats.org/officeDocument/2006/relationships/hyperlink" Target="https://esipa.cz/sbirka/sbsrv.dll/sb?DR=AZ&amp;CP=1963s099-2007s296#C03_H01_P093" TargetMode="External"/><Relationship Id="rId79" Type="http://schemas.openxmlformats.org/officeDocument/2006/relationships/hyperlink" Target="https://esipa.cz/sbirka/sbsrv.dll/sb?DR=SB&amp;CP=2000s118" TargetMode="External"/><Relationship Id="rId80" Type="http://schemas.openxmlformats.org/officeDocument/2006/relationships/hyperlink" Target="https://esipa.cz/sbirka/sbsrv.dll/sb?DR=SB&amp;CP=2004s436" TargetMode="External"/><Relationship Id="rId81" Type="http://schemas.openxmlformats.org/officeDocument/2006/relationships/hyperlink" Target="https://esipa.cz/sbirka/sbsrv.dll/sb?DR=SB&amp;CP=1992s589" TargetMode="External"/><Relationship Id="rId82" Type="http://schemas.openxmlformats.org/officeDocument/2006/relationships/hyperlink" Target="https://esipa.cz/sbirka/sbsrv.dll/sb?DR=AZ&amp;CP=1995s114-2006s186#C03_P008" TargetMode="External"/><Relationship Id="rId83" Type="http://schemas.openxmlformats.org/officeDocument/2006/relationships/hyperlink" Target="https://esipa.cz/sbirka/sbsrv.dll/sb?DR=SB&amp;CP=1995s114" TargetMode="External"/><Relationship Id="rId84" Type="http://schemas.openxmlformats.org/officeDocument/2006/relationships/hyperlink" Target="https://esipa.cz/sbirka/sbsrv.dll/sb?DR=AZ&amp;CP=1995s222-2006s517#P028" TargetMode="External"/><Relationship Id="rId85" Type="http://schemas.openxmlformats.org/officeDocument/2006/relationships/hyperlink" Target="https://esipa.cz/sbirka/sbsrv.dll/sb?DR=SB&amp;CP=1995s222" TargetMode="External"/><Relationship Id="rId86" Type="http://schemas.openxmlformats.org/officeDocument/2006/relationships/hyperlink" Target="https://esipa.cz/sbirka/sbsrv.dll/sb?DR=SB&amp;CP=2000s026" TargetMode="External"/><Relationship Id="rId87" Type="http://schemas.openxmlformats.org/officeDocument/2006/relationships/hyperlink" Target="https://esipa.cz/sbirka/sbsrv.dll/sb?DR=SB&amp;CP=1991s563" TargetMode="External"/><Relationship Id="rId88" Type="http://schemas.openxmlformats.org/officeDocument/2006/relationships/hyperlink" Target="https://esipa.cz/sbirka/sbsrv.dll/sb?DR=SB&amp;CP=2001s143" TargetMode="External"/><Relationship Id="rId89" Type="http://schemas.openxmlformats.org/officeDocument/2006/relationships/hyperlink" Target="https://esipa.cz/sbirka/sbsrv.dll/sb?DR=AZ&amp;CP=2002s124-2007s120#C04_P024" TargetMode="External"/><Relationship Id="rId90" Type="http://schemas.openxmlformats.org/officeDocument/2006/relationships/hyperlink" Target="https://esipa.cz/sbirka/sbsrv.dll/sb?DR=SB&amp;CP=2002s124" TargetMode="External"/><Relationship Id="rId91" Type="http://schemas.openxmlformats.org/officeDocument/2006/relationships/hyperlink" Target="https://esipa.cz/sbirka/sbsrv.dll/sb?DR=AZ&amp;CP=2002s124-2007s120#C04_P029" TargetMode="External"/><Relationship Id="rId92" Type="http://schemas.openxmlformats.org/officeDocument/2006/relationships/hyperlink" Target="https://esipa.cz/sbirka/sbsrv.dll/sb?DR=SB&amp;CP=2010s409" TargetMode="External"/><Relationship Id="rId93" Type="http://schemas.openxmlformats.org/officeDocument/2006/relationships/hyperlink" Target="https://esipa.cz/sbirka/sbsrv.dll/sb?DR=SB&amp;CP=32001L0024" TargetMode="External"/><Relationship Id="rId94" Type="http://schemas.openxmlformats.org/officeDocument/2006/relationships/hyperlink" Target="https://esipa.cz/sbirka/sbsrv.dll/sb?DR=SB&amp;CP=32017L2399" TargetMode="External"/><Relationship Id="rId95" Type="http://schemas.openxmlformats.org/officeDocument/2006/relationships/hyperlink" Target="https://esipa.cz/sbirka/sbsrv.dll/sb?DR=SB&amp;CP=32014L0059" TargetMode="External"/><Relationship Id="rId96" Type="http://schemas.openxmlformats.org/officeDocument/2006/relationships/hyperlink" Target="https://esipa.cz/sbirka/sbsrv.dll/sb?DR=AZ&amp;CP=1992s021-2007s296#C02_P005A" TargetMode="External"/><Relationship Id="rId97" Type="http://schemas.openxmlformats.org/officeDocument/2006/relationships/hyperlink" Target="https://esipa.cz/sbirka/sbsrv.dll/sb?DR=SB&amp;CP=1992s021" TargetMode="External"/><Relationship Id="rId98" Type="http://schemas.openxmlformats.org/officeDocument/2006/relationships/hyperlink" Target="https://esipa.cz/sbirka/sbsrv.dll/sb?DR=SB&amp;CP=32000L0012" TargetMode="External"/><Relationship Id="rId99" Type="http://schemas.openxmlformats.org/officeDocument/2006/relationships/hyperlink" Target="https://esipa.cz/sbirka/sbsrv.dll/sb?DR=SB&amp;CP=32001L0017" TargetMode="External"/><Relationship Id="rId100" Type="http://schemas.openxmlformats.org/officeDocument/2006/relationships/hyperlink" Target="https://esipa.cz/sbirka/sbsrv.dll/sb?DR=AZ&amp;CP=1999s363-2007s296#C01_H01_P005C" TargetMode="External"/><Relationship Id="rId101" Type="http://schemas.openxmlformats.org/officeDocument/2006/relationships/hyperlink" Target="https://esipa.cz/sbirka/sbsrv.dll/sb?DR=SB&amp;CP=1999s363" TargetMode="External"/><Relationship Id="rId102" Type="http://schemas.openxmlformats.org/officeDocument/2006/relationships/hyperlink" Target="https://esipa.cz/sbirka/sbsrv.dll/sb?DR=SB&amp;CP=2004s039" TargetMode="External"/><Relationship Id="rId103" Type="http://schemas.openxmlformats.org/officeDocument/2006/relationships/hyperlink" Target="https://esipa.cz/sbirka/sbsrv.dll/sb?DR=AZ&amp;CP=1999s363-2007s296#C01_H01_P005A" TargetMode="External"/><Relationship Id="rId104" Type="http://schemas.openxmlformats.org/officeDocument/2006/relationships/hyperlink" Target="https://esipa.cz/sbirka/sbsrv.dll/sb?DR=SB&amp;CP=2004s499" TargetMode="External"/><Relationship Id="rId105" Type="http://schemas.openxmlformats.org/officeDocument/2006/relationships/hyperlink" Target="https://esipa.cz/sbirka/sbsrv.dll/sb?DR=SB&amp;CP=32015R0848" TargetMode="External"/><Relationship Id="rId106" Type="http://schemas.openxmlformats.org/officeDocument/2006/relationships/hyperlink" Target="https://esipa.cz/sbirka/sbsrv.dll/sb?DR=SB&amp;CP=2009s190" TargetMode="External"/><Relationship Id="rId107" Type="http://schemas.openxmlformats.org/officeDocument/2006/relationships/hyperlink" Target="https://esipa.cz/sbirka/sbsrv.dll/sb?DR=SB&amp;CP=1991s582" TargetMode="External"/><Relationship Id="rId108" Type="http://schemas.openxmlformats.org/officeDocument/2006/relationships/hyperlink" Target="https://esipa.cz/sbirka/sbsrv.dll/sb?DR=SB&amp;CP=2009s093" TargetMode="External"/><Relationship Id="rId109" Type="http://schemas.openxmlformats.org/officeDocument/2006/relationships/hyperlink" Target="https://esipa.cz/sbirka/sbsrv.dll/sb?DR=SB&amp;CP=2008s253" TargetMode="External"/><Relationship Id="rId110" Type="http://schemas.openxmlformats.org/officeDocument/2006/relationships/hyperlink" Target="https://esipa.cz/sbirka/sbsrv.dll/sb?DR=SB&amp;CP=1994s269" TargetMode="External"/><Relationship Id="rId111" Type="http://schemas.openxmlformats.org/officeDocument/2006/relationships/hyperlink" Target="https://esipa.cz/sbirka/sbsrv.dll/sb?DR=SB&amp;CP=2013s304" TargetMode="External"/><Relationship Id="rId112" Type="http://schemas.openxmlformats.org/officeDocument/2006/relationships/hyperlink" Target="https://esipa.cz/sbirka/sbsrv.dll/sb?DR=SB&amp;CP=2015s087" TargetMode="External"/><Relationship Id="rId113" Type="http://schemas.openxmlformats.org/officeDocument/2006/relationships/hyperlink" Target="https://esipa.cz/sbirka/sbsrv.dll/sb?DR=SB&amp;CP=2012s089" TargetMode="External"/><Relationship Id="rId114" Type="http://schemas.openxmlformats.org/officeDocument/2006/relationships/hyperlink" Target="https://esipa.cz/sbirka/sbsrv.dll/sb?DR=AZ&amp;CP=1992s586-2018s306#C01_P016B" TargetMode="External"/><Relationship Id="rId115" Type="http://schemas.openxmlformats.org/officeDocument/2006/relationships/hyperlink" Target="https://esipa.cz/sbirka/sbsrv.dll/sb?DR=AZ&amp;CP=1995s155-2018s191_20190101#C04_H02_D01_P039" TargetMode="External"/><Relationship Id="rId116" Type="http://schemas.openxmlformats.org/officeDocument/2006/relationships/hyperlink" Target="https://esipa.cz/sbirka/sbsrv.dll/sb?DR=SB&amp;CP=1995s155" TargetMode="External"/><Relationship Id="rId117" Type="http://schemas.openxmlformats.org/officeDocument/2006/relationships/hyperlink" Target="https://esipa.cz/sbirka/sbsrv.dll/sb?DR=AZ&amp;CP=2004s190%E2%80%912017s183#C02_H03_P028" TargetMode="External"/><Relationship Id="rId118" Type="http://schemas.openxmlformats.org/officeDocument/2006/relationships/header" Target="header1.xml"/><Relationship Id="rId11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230/2019 Sb. z 1. 10. 2019</dc:title>
  <dc:description>Zákon o úpadku a způsobech jeho řešení (insolvenční zákon)</dc:description>
  <dc:subject/>
  <cp:keywords/>
  <cp:category/>
  <cp:lastModifiedBy/>
  <dcterms:created xsi:type="dcterms:W3CDTF">2019-10-01T00:00:00+02:00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