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 zajištěným věřitelem je i agent pro zajištění podle zákona o dluhopisech,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 43 občanského soudního řádu se nepoužije. Nerozhodne-li insolvenční soud ve lhůtě podle věty první,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 18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5 a 7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 3 odst. 2 zákona o insolvenčních správcích</w:t>
      </w:r>
      <w:r>
        <w:rPr>
          <w:vertAlign w:val="superscript"/>
        </w:rPr>
        <w:t xml:space="preserve">9a</w:t>
      </w:r>
      <w:r>
        <w:rPr/>
        <w:t xml:space="preserve">) na základě rozhodnutí ministerstva podle zákona o insolvenčních správcích</w:t>
      </w:r>
      <w:r>
        <w:rPr>
          <w:vertAlign w:val="superscript"/>
        </w:rPr>
        <w:t xml:space="preserve">9a</w:t>
      </w:r>
      <w:r>
        <w:rPr/>
        <w:t xml:space="preserve">).</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 a pro vydání majetku zákazníka postupem stanoveným zákonem o podnikání na kapitálovém trhu.</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w:t>
      </w:r>
    </w:p>
    <w:p>
      <w:pPr>
        <w:ind w:left="0" w:right="0"/>
      </w:pPr>
      <w:r>
        <w:rPr>
          <w:b/>
          <w:bCs/>
        </w:rPr>
        <w:t xml:space="preserve">(3)</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insolvenční správce uloží z měsíčních splátek částku odpovídající jeho odměně a náhradě hotových výdajů za dobu 6 měsíců jako zálohu na úhradu své odměny a náhrady hotových výdajů na zvláštní účet u banky nebo spořitelního a úvěrního družstva zřízený za účelem ukládání těchto záloh.</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Není-li způsobem řešení úpadku oddlužení,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 56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přihlášenému věřiteli, který jmenování prozatímního věřitelského výboru navrhl,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státnímu zastupitelství, které vstoupilo do insolvenčního řízení, a věřitelskému výboru. Soudní rozhodnutí se doručuje zvlášť také osobám, o jejichž podání insolvenční soud rozhoduje, a osobám, které mají v insolvenčním řízení něco osobně vykonat. Písemnosti, o nichž tak stanoví zvláštní právní předpis</w:t>
      </w:r>
      <w:r>
        <w:rPr>
          <w:vertAlign w:val="superscript"/>
        </w:rPr>
        <w:t xml:space="preserve">16</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9"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Není-li podání učiněno na stanoveném formuláři, ve stanoveném formátu nebo stanoveným způsobem, postupuje insolvenční soud podle § 43 občanského soudního řádu, nestanoví-li tento zákon jinak.</w:t>
      </w:r>
    </w:p>
    <w:p>
      <w:pPr>
        <w:ind w:left="0" w:right="0"/>
      </w:pPr>
      <w:r>
        <w:rPr>
          <w:b/>
          <w:bCs/>
        </w:rPr>
        <w:t xml:space="preserve">(3)</w:t>
      </w:r>
      <w:r>
        <w:rPr/>
        <w:t xml:space="preserve">  Odstavce 1 a 2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0"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 a které mu doručí zvlášť; ustanovení tohoto zákona o doručení vyhláškou se nepoužije.</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ind w:left="0" w:right="0"/>
      </w:pPr>
      <w:r>
        <w:rPr>
          <w:b/>
          <w:bCs/>
        </w:rPr>
        <w:t xml:space="preserve">(3)</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1"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až 4, platí, že pohledávku vůči dlužníkovi neosvědčil, ledaže jde o případ podle § 177 odst. 5 nebo 7.</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těmto osobám, jakož i orgánu nebo osobě, která rozhodnutí nebo opatření při provádění výkonu rozhodnutí nebo exekuce přijala nebo připravovala, se rozhodnutí insolvenčního soudu podle věty druhé doručuje zvlášť.</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8"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 98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činí lhůta k přihlášení pohledávek 30 dnů a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2"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vedle doručení vyhláškou i zvlášť a rozhodnutí ve věci samé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 a pohledávky státu – správce daně vzniklé na základě povinnosti provést opravu odpočtu daně v případě reorganizace nebo povinnosti provést opravu odpočtu daně v případě nedobytné pohledávky podle zákona upravujícího daň z přidané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zvláštního zákona</w:t>
      </w:r>
      <w:r>
        <w:rPr>
          <w:vertAlign w:val="superscript"/>
        </w:rPr>
        <w:t xml:space="preserve">67</w:t>
      </w:r>
      <w:r>
        <w:rPr/>
        <w:t xml:space="preserve">), a důvod, pro který se podle zvláštního zákona</w:t>
      </w:r>
      <w:r>
        <w:rPr>
          <w:vertAlign w:val="superscript"/>
        </w:rPr>
        <w:t xml:space="preserve">67</w:t>
      </w:r>
      <w:r>
        <w:rPr/>
        <w:t xml:space="preserve">) taková osoba považuje za skutečného majitele.</w:t>
      </w:r>
    </w:p>
    <w:p>
      <w:pPr>
        <w:ind w:left="0" w:right="0"/>
      </w:pPr>
      <w:r>
        <w:rPr>
          <w:b/>
          <w:bCs/>
        </w:rPr>
        <w:t xml:space="preserve">(3)</w:t>
      </w:r>
      <w:r>
        <w:rPr/>
        <w:t xml:space="preserve">  Věřitel nemá povinnost podle odstavce  2, ač má skutečného majitele podle zvláštního zákona</w:t>
      </w:r>
      <w:r>
        <w:rPr>
          <w:vertAlign w:val="superscript"/>
        </w:rPr>
        <w:t xml:space="preserve">67</w:t>
      </w:r>
      <w:r>
        <w:rPr/>
        <w:t xml:space="preserve">), jestliže se na obchod podle zvláštního zákona</w:t>
      </w:r>
      <w:r>
        <w:rPr>
          <w:vertAlign w:val="superscript"/>
        </w:rPr>
        <w:t xml:space="preserve">67</w:t>
      </w:r>
      <w:r>
        <w:rPr/>
        <w:t xml:space="preserve">), z něhož pohledávka věřitele vznikla, uzavřený mezi povinnou osobou podle zvláštního zákona</w:t>
      </w:r>
      <w:r>
        <w:rPr>
          <w:vertAlign w:val="superscript"/>
        </w:rPr>
        <w:t xml:space="preserve">67</w:t>
      </w:r>
      <w:r>
        <w:rPr/>
        <w:t xml:space="preserve">) a věřitelem, nevztahuje povinnost provést kontrolu klienta podle zvláštního zákona</w:t>
      </w:r>
      <w:r>
        <w:rPr>
          <w:vertAlign w:val="superscript"/>
        </w:rPr>
        <w:t xml:space="preserve">67</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podle odstavce  2 osoba, která skutečného majitele podle zvláštního zákona</w:t>
      </w:r>
      <w:r>
        <w:rPr>
          <w:vertAlign w:val="superscript"/>
        </w:rPr>
        <w:t xml:space="preserve">67</w:t>
      </w:r>
      <w:r>
        <w:rPr/>
        <w:t xml:space="preserve">) nemá, doloží v příloze přihlášky pohledávky čestné prohlášení o tom, že skutečného majitele nemá.</w:t>
      </w:r>
    </w:p>
    <w:p>
      <w:pPr>
        <w:ind w:left="0" w:right="0"/>
      </w:pPr>
      <w:r>
        <w:rPr>
          <w:b/>
          <w:bCs/>
        </w:rPr>
        <w:t xml:space="preserve">(5)</w:t>
      </w:r>
      <w:r>
        <w:rPr/>
        <w:t xml:space="preserve">  Je-li věřitelem fyzická osoba, odstavce  2 a 3 se nepoužijí.</w:t>
      </w:r>
    </w:p>
    <w:p>
      <w:pPr>
        <w:ind w:left="0" w:right="0"/>
      </w:pPr>
      <w:r>
        <w:rPr>
          <w:b/>
          <w:bCs/>
        </w:rPr>
        <w:t xml:space="preserve">(6)</w:t>
      </w:r>
      <w:r>
        <w:rPr/>
        <w:t xml:space="preserve">  Dokud věřitel povinnost stanovenou v odstavcích 2 až 4 nesplní, nesmí vykonávat hlasovací práva spojená s pohledávkou.</w:t>
      </w:r>
    </w:p>
    <w:p>
      <w:pPr>
        <w:ind w:left="0" w:right="0"/>
      </w:pPr>
      <w:r>
        <w:rPr>
          <w:b/>
          <w:bCs/>
        </w:rPr>
        <w:t xml:space="preserve">(7)</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odstavců 3 a 4.</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Rozhodnutí podle odstavce  1 doručí insolvenční soud zvlášť dlužníku, insolvenčnímu správci, osobě, která návrh podala, a věřiteli, kterému byla povinnost složit jistotu podle odstavce  1 uložena.</w:t>
      </w:r>
    </w:p>
    <w:p>
      <w:pPr>
        <w:ind w:left="0" w:right="0"/>
      </w:pPr>
      <w:r>
        <w:rPr>
          <w:b/>
          <w:bCs/>
        </w:rPr>
        <w:t xml:space="preserve">(3)</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(4)</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(5)</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 139 odst. 1, pokud jde o přihlášené věřitele.</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kterým se rozhodnutí, proti němuž není odvolání přípustné, doručuje, a to zvlášť.</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Rozhodnutí podle odstavce 4, proti němuž není odvolání přípustné, se doručuje zvlášť insolvenčnímu správci, dlužníku a zajištěným věřitelům, kterých se týká.</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Rozhodnutí o návrhu insolvenčního správce na vydání výtěžku zpeněžení podle odstavce 2 se doručuje zvlášť dlužníku, insolvenčnímu správci, zajištěnému věřiteli, jemuž má být výtěžek vydán, a věřitelům, kteří proti němu podali námitky; jen tyto osoby mohou proti rozhodnutí podat odvolání.</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uplatnila v insolvenčním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w:t>
      </w:r>
    </w:p>
    <w:p>
      <w:pPr>
        <w:pStyle w:val="Heading4"/>
      </w:pPr>
      <w:r>
        <w:rPr>
          <w:b/>
          <w:bCs/>
        </w:rPr>
        <w:t xml:space="preserve">§ 299</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 předvolání k tomuto jednání insolvenční soud zvlášť doručí insolvenčnímu správci, dlužníku, věřitelům a státnímu zastupitelství,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zajištění, které dlužník poskytl, jde‑li o 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splnění povinností vyplývajících z ujednání o finančním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3"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hyperlink r:id="rId14" w:history="1">
        <w:r>
          <w:rPr>
            <w:color w:val="darkblue"/>
            <w:u w:val="single"/>
          </w:rPr>
          <w:t xml:space="preserve">§ 367</w:t>
        </w:r>
      </w:hyperlink>
      <w:r>
        <w:rPr/>
        <w:t xml:space="preserve"> odst.  1 (dále jen „orgán dozoru nebo dohledu“) a orgán příslušný k řešení krize podle zákona upravujícího ozdravné postupy a řešení krize na finančním trhu (dále jen „orgán příslušný k řešení krize“). Tím není dotčeno ustanovení </w:t>
      </w:r>
      <w:hyperlink r:id="rId15" w:history="1">
        <w:r>
          <w:rPr>
            <w:color w:val="darkblue"/>
            <w:u w:val="single"/>
          </w:rPr>
          <w:t xml:space="preserve">§ 97</w:t>
        </w:r>
      </w:hyperlink>
      <w:r>
        <w:rPr/>
        <w:t xml:space="preserve">. V návrhu orgán dozoru nebo dohledu nebo orgán příslušný k řešení krize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nebo orgánu příslušnému k řešení krize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Pořadí některých pohledávek za bankami a spořitelními a úvěrními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Garančního systému finančního trhu vzniklé podle </w:t>
      </w:r>
      <w:hyperlink r:id="rId16" w:history="1">
        <w:r>
          <w:rPr>
            <w:color w:val="darkblue"/>
            <w:u w:val="single"/>
          </w:rPr>
          <w:t xml:space="preserve">§ 41h</w:t>
        </w:r>
      </w:hyperlink>
      <w:r>
        <w:rPr/>
        <w:t xml:space="preserve"> odst. 2 zákona o bankách nebo podle </w:t>
      </w:r>
      <w:hyperlink r:id="rId17" w:history="1">
        <w:r>
          <w:rPr>
            <w:color w:val="darkblue"/>
            <w:u w:val="single"/>
          </w:rPr>
          <w:t xml:space="preserve">§ 221</w:t>
        </w:r>
      </w:hyperlink>
      <w:r>
        <w:rPr/>
        <w:t xml:space="preserve"> odst. 6 zákona upravujícího ozdravné postupy a řešení krize na finančním trhu.</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374b</w:t>
      </w:r>
      <w:r>
        <w:rPr>
          <w:rStyle w:val="hidden"/>
        </w:rPr>
        <w:t xml:space="preserve"> -</w:t>
      </w:r>
      <w:br/>
      <w:r>
        <w:rPr/>
        <w:t xml:space="preserve">Pohledávky z nepreferovaných dluhových nástrojů</w:t>
      </w:r>
    </w:p>
    <w:p>
      <w:pPr>
        <w:ind w:left="0" w:right="0"/>
      </w:pPr>
      <w:r>
        <w:rPr>
          <w:b/>
          <w:bCs/>
        </w:rPr>
        <w:t xml:space="preserve">(1)</w:t>
      </w:r>
      <w:r>
        <w:rPr/>
        <w:t xml:space="preserve">  Po pohledávkách ostatních nezajištěných věřitelů jsou uspokojovány pohledávky z dluhového nástroje, pokud takový dluhový nástroj</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původní smluvní dobu splatnosti nejméně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neobsahuje vložený derivát a sám není derivátem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dokumentace a prospekt cenného papíru, pokud byl vyhotoven, uvádějí pořadí uspokojení pohledávky podle tohoto odstavce.</w:t>
      </w:r>
    </w:p>
    <w:p>
      <w:pPr>
        <w:ind w:left="0" w:right="0"/>
      </w:pPr>
      <w:r>
        <w:rPr>
          <w:b/>
          <w:bCs/>
        </w:rPr>
        <w:t xml:space="preserve">(2)</w:t>
      </w:r>
      <w:r>
        <w:rPr/>
        <w:t xml:space="preserve">  Dluhový nástroj se pro účely odstavce  1 nepovažuje za derivát ani za dluhový nástroj obsahující vložený derivát jen proto, že jako základ pro výpočet úroku je použita široce používaná referenční úroková sazba, nebo jen proto, že dluhový nástroj je vydán v jiné než domácí měně emitenta a zároveň jsou jmenovitá hodnota nebo jistina, splátka a úrok určeny ve stejné měně.</w:t>
      </w:r>
    </w:p>
    <w:p>
      <w:pPr>
        <w:ind w:left="0" w:right="0"/>
      </w:pPr>
      <w:r>
        <w:rPr>
          <w:b/>
          <w:bCs/>
        </w:rPr>
        <w:t xml:space="preserve">(3)</w:t>
      </w:r>
      <w:r>
        <w:rPr/>
        <w:t xml:space="preserve">  Pro účely tohoto paragrafu se dluhovým nástrojem rozumí dluhopis a jiná forma převoditelného dluhu a nástroj vytvářející nebo uznávající dluh.</w:t>
      </w:r>
    </w:p>
    <w:p>
      <w:pPr>
        <w:pStyle w:val="Heading5"/>
      </w:pPr>
      <w:r>
        <w:rPr>
          <w:b/>
          <w:bCs/>
        </w:rPr>
        <w:t xml:space="preserve">§ 375</w:t>
      </w:r>
      <w:r>
        <w:rPr>
          <w:rStyle w:val="hidden"/>
        </w:rPr>
        <w:t xml:space="preserve"> -</w:t>
      </w:r>
      <w:br/>
      <w:r>
        <w:rPr/>
        <w:t xml:space="preserve">Kryté dluhopisy a hypoteční úvěry</w:t>
      </w:r>
    </w:p>
    <w:p>
      <w:pPr>
        <w:ind w:left="0" w:right="0"/>
      </w:pPr>
      <w:r>
        <w:rPr>
          <w:b/>
          <w:bCs/>
        </w:rPr>
        <w:t xml:space="preserve">(1)</w:t>
      </w:r>
      <w:r>
        <w:rPr/>
        <w:t xml:space="preserve"> Krycí portfolio podle zákona o dluhopisech není součástí majetkové podstaty dlužníka, který je emitentem krytých dluhopisů. Tím není dotčena možnost, aby věci nebo jiné majetkové hodnoty, které jsou součástí krycího portfolia, přestaly být součástí tohoto krycího portfolia postupem podle § 30b odst. 4 nebo 5 zákona o dluhopisech.</w:t>
      </w:r>
    </w:p>
    <w:p>
      <w:pPr>
        <w:ind w:left="0" w:right="0"/>
      </w:pPr>
      <w:r>
        <w:rPr>
          <w:b/>
          <w:bCs/>
        </w:rPr>
        <w:t xml:space="preserve">(2)</w:t>
      </w:r>
      <w:r>
        <w:rPr/>
        <w:t xml:space="preserve"> Ustanovení § 250 se nepoužije pro dluhy z krytých dluhopisů vydaných dlužníkem, ani pro související dluhy, k jejichž krytí slouží krycí portfolio podle zákona o dluhopisech.</w:t>
      </w:r>
    </w:p>
    <w:p>
      <w:pPr>
        <w:ind w:left="0" w:right="0"/>
      </w:pPr>
      <w:r>
        <w:rPr>
          <w:b/>
          <w:bCs/>
        </w:rPr>
        <w:t xml:space="preserve">(3)</w:t>
      </w:r>
      <w:r>
        <w:rPr/>
        <w:t xml:space="preserve">  Zahájení insolvenčního řízení vůči emitentovi krytých dluhopisů, vydání rozhodnutí o úpadku emitenta krytých dluhopisů ani prohlášení konkursu na majetek emitenta krytých dluhopisů nemají vliv na kryté bloky tohoto emitenta podle zákona o dluhopisech, zejména na plnění a splatnost dluhů, které jsou součástí tohoto krytého bloku. K smluvnímu ujednání, které je s tím v rozporu, se nepřihlíží.</w:t>
      </w:r>
    </w:p>
    <w:p>
      <w:pPr>
        <w:ind w:left="0" w:right="0"/>
      </w:pPr>
      <w:r>
        <w:rPr>
          <w:b/>
          <w:bCs/>
        </w:rPr>
        <w:t xml:space="preserve">(4)</w:t>
      </w:r>
      <w:r>
        <w:rPr/>
        <w:t xml:space="preserve">  Doručí‑li nucený správce krytých bloků insolvenčnímu soudu vyčíslení pohledávek vlastníků krytých dluhopisů podle § 32b odst. 8 zákona o dluhopisech, pohlíží se tímto doručením na tyto pohledávky jako na přihlášené. K jiným pohledávkám vlastníků krytých dluhopisů se v rámci insolvenčního řízení nepřihlíží, ledaže je ve lhůtě stanovené pro přihlašování pohledávek přihlásí vlastníci krytých dluhopisů.</w:t>
      </w:r>
    </w:p>
    <w:p>
      <w:pPr>
        <w:ind w:left="0" w:right="0"/>
      </w:pPr>
      <w:r>
        <w:rPr>
          <w:b/>
          <w:bCs/>
        </w:rPr>
        <w:t xml:space="preserve">(5)</w:t>
      </w:r>
      <w:r>
        <w:rPr/>
        <w:t xml:space="preserve">  Insolvenční správce nesmí zasahovat do správy krytých bloků a je povinen poskytnout součinnost nucenému správci krytých bloků podle zákona o dluhopisech, aby mohl tento nucený správce plnit své povinnosti.</w:t>
      </w:r>
    </w:p>
    <w:p>
      <w:pPr>
        <w:pStyle w:val="Heading5"/>
      </w:pPr>
      <w:r>
        <w:rPr>
          <w:b/>
          <w:bCs/>
        </w:rPr>
        <w:t xml:space="preserve">§ 375a</w:t>
      </w:r>
      <w:r>
        <w:rPr>
          <w:rStyle w:val="hidden"/>
        </w:rPr>
        <w:t xml:space="preserve"> -</w:t>
      </w:r>
      <w:br/>
      <w:r>
        <w:rPr/>
        <w:t xml:space="preserve">Majetek zákazníka</w:t>
      </w:r>
    </w:p>
    <w:p>
      <w:pPr>
        <w:ind w:left="0" w:right="0"/>
      </w:pPr>
      <w:r>
        <w:rPr/>
        <w:t xml:space="preserve">Majetek zákazníka podle zákona o podnikání na kapitálovém trhu není součástí majetkové podstaty dlužníka.</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 která nemá dluhy z podnikání.</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 Jsou-li zde osoby ochotné poskytnout dlužníkovi za účelem splnění oddlužení dar nebo mu po dobu trvání oddlužení platit pravidelné peněžní dávky, připojí dlužník k návrhu na povolení oddlužení i písemnou darovací smlouvu nebo smlouvu o důchodu; podpisy těchto osob na smlouvách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zpeněžením majetkové podstaty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a seznam závazků. Rozhodnutí o povolení oddlužení se doručuje dlužníku, insolvenčnímu správci a věřitelskému výboru. Odvolání proti němu není přípustné.</w:t>
      </w:r>
    </w:p>
    <w:p>
      <w:pPr>
        <w:ind w:left="0" w:right="0"/>
      </w:pPr>
      <w:r>
        <w:rPr>
          <w:b/>
          <w:bCs/>
        </w:rPr>
        <w:t xml:space="preserve">(2)</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(3)</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 Na základě výslovného prohlášení dlužníka lze k návrhu insolvenčního správce provést oddlužení plněním splátkového kalendáře se zpeněžením majetkové podstaty nebo její části.</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připojí k ní znalecký posudek, je-li v majetkové podstatě nemovitá věc; navrhuje-li insolvenční správce provést oddlužení plněním splátkového kalendáře,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pro ten účel zřízený u banky nebo spořitelního a úvěrního družstva.</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v rozhodnutí o schválení oddlužení (§ 406).</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které se zvlášť doručuje pouze osobám, které podaly námitky,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jen na žádost zajištěného věřitele, jestliže zpeněžením ostatního majetku dojde k plnému uspokojení pohledávek nezajištěných věřitelů nebo jestliže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 podstaty v době schválení oddlužení, včetně toho majetku, s nímž dlužník nemohl dosud nakládat v důsledku účinků nařízení nebo zahájení výkonu rozhodnutí nebo exekuce, má od právní moci rozhodnutí o schválení oddlužení plněním splátkového kalendáře dlužník; to neplatí, jde-li o majetek, který slouží k zajištění.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Rozhodnutí podle odstavce 3 doručuje insolvenční soud zvlášť pouze insolvenčnímu správci, dlužníku a věřitelům, o jejichž námitkách bylo rozhodováno; odvolání proti tomuto rozhodnutí není přípustné.</w:t>
      </w:r>
    </w:p>
    <w:p>
      <w:pPr>
        <w:ind w:left="0" w:right="0"/>
      </w:pPr>
      <w:r>
        <w:rPr>
          <w:b/>
          <w:bCs/>
        </w:rPr>
        <w:t xml:space="preserve">(5)</w:t>
      </w:r>
      <w:r>
        <w:rPr/>
        <w:t xml:space="preserve">  Popření pohledávky nezajištěného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insolvenčnímu správci a věřitelskému výboru přehled svých příjmů za uplynulých 6 kalendářních měsíců, neurčí-li insolvenční soud v usnesení o schválení oddlužení jinou dobu předkládání,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usnesení, jímž dlužníka osvobodí od placení pohledávek, zahrnutých do oddlužení, v rozsahu, v němž dosud nebyly uspokojeny.</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je-li hodnota plnění, které při splnění oddlužení obdrželi nezajištění věřitelé při postupu podle § 398 odst. 4, nižší než 50 %, nebo nedosahuje-li nejnižší hodnotu plnění, na které se tito věřitelé s dlužníkem dohodli, může insolvenční soud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 414 odst. 2 a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přiznání osvobození podle § 414 nebo o návrhu dlužníka na přiznání osvobození podle 415 se doručuje zvlášť dlužníku, insolvenčnímu správci a věřitelskému výboru. Proti rozhodnutí, jímž insolvenční soud takový návrh zamítl, se může odvolat pouze dlužník. Proti rozhodnutí, jímž insolvenční soud přizná dlužníku osvobození podle § 414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 a údajů o právnické osobě zapsané do veřejného rejstříku podle zvláštního právního předpisu</w:t>
      </w:r>
      <w:r>
        <w:rPr>
          <w:vertAlign w:val="superscript"/>
        </w:rPr>
        <w:t xml:space="preserve">70</w:t>
      </w:r>
      <w:r>
        <w:rPr/>
        <w:t xml:space="preserve">), jsou-li ve veřejném rejstříku podle zvláštního právního předpisu</w:t>
      </w:r>
      <w:r>
        <w:rPr>
          <w:vertAlign w:val="superscript"/>
        </w:rPr>
        <w:t xml:space="preserve">69</w:t>
      </w:r>
      <w:r>
        <w:rPr/>
        <w:t xml:space="preserve">) uchovávány v elektronické podobě</w:t>
      </w:r>
      <w:r>
        <w:rPr>
          <w:vertAlign w:val="superscript"/>
        </w:rPr>
        <w:t xml:space="preserve">71</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poskytuje služby v oblasti oddlužení bez akreditace.</w:t>
      </w:r>
    </w:p>
    <w:p>
      <w:pPr>
        <w:ind w:left="0" w:right="0"/>
      </w:pPr>
      <w:r>
        <w:rPr>
          <w:b/>
          <w:bCs/>
        </w:rPr>
        <w:t xml:space="preserve">(3)</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poskytuje jinému služby v oblasti oddlužení.</w:t>
      </w:r>
    </w:p>
    <w:p>
      <w:pPr>
        <w:ind w:left="0" w:right="0"/>
      </w:pPr>
      <w:r>
        <w:rPr>
          <w:b/>
          <w:bCs/>
        </w:rPr>
        <w:t xml:space="preserve">(2)</w:t>
      </w:r>
      <w:r>
        <w:rPr/>
        <w:t xml:space="preserve">  Za přestupek podle odstavce  1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zrušen zákonem č. </w:t>
      </w:r>
      <w:hyperlink r:id="rId18"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záznamu podle § 85, výzvy k podávání přihlášek pohledávek, formuláře soupisu, vyrozumění o soupisu, vyrozumění o uplatnění pohledávky za majetkovou podstatou nebo pohledávky jí postavené na roveň, formuláře seznamu přihlášených pohledávek, formuláře přihlášek pohledávek, manipulace s přihláškami pohledávek, pravidla pro jejich úschovu a nahlížení do nich, náležitosti hlasovacích lístků, náležitosti reorganizačního plánu, náležitosti zprávy o reorganizačním plánu, formuláře návrhu na povolení oddlužení, záznamu o jednání insolvenčního správce s dlužníkem v oddlužení, zprávy o přezkumu, zprávy pro oddlužení, zprávy o neplnění oddlužení, zprávy o splnění oddlužení, náležitosti formuláře popření pohledávky přihlášeným věřitelem, formuláře konečné zprávy a formuláře zprávy o plnění reorganizačního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20" w:history="1">
        <w:r>
          <w:rPr>
            <w:color w:val="darkblue"/>
            <w:u w:val="single"/>
          </w:rPr>
          <w:t xml:space="preserve">122/1993 Sb.</w:t>
        </w:r>
      </w:hyperlink>
      <w:r>
        <w:rPr/>
        <w:t xml:space="preserve">, kterým se mění a doplňuje zákon č. </w:t>
      </w:r>
      <w:hyperlink r:id="rId19"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12/1998 Sb.</w:t>
        </w:r>
      </w:hyperlink>
      <w:r>
        <w:rPr/>
        <w:t xml:space="preserve">, kterým se mění a doplňuje zákon č. </w:t>
      </w:r>
      <w:hyperlink r:id="rId19"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214/2000 Sb.</w:t>
        </w:r>
      </w:hyperlink>
      <w:r>
        <w:rPr/>
        <w:t xml:space="preserve">, kterým se mění zákon č. </w:t>
      </w:r>
      <w:hyperlink r:id="rId19"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3" w:history="1">
        <w:r>
          <w:rPr>
            <w:color w:val="darkblue"/>
            <w:u w:val="single"/>
          </w:rPr>
          <w:t xml:space="preserve">368/2000 Sb.</w:t>
        </w:r>
      </w:hyperlink>
      <w:r>
        <w:rPr/>
        <w:t xml:space="preserve">, kterým se mění zákon č. </w:t>
      </w:r>
      <w:hyperlink r:id="rId24" w:history="1">
        <w:r>
          <w:rPr>
            <w:color w:val="darkblue"/>
            <w:u w:val="single"/>
          </w:rPr>
          <w:t xml:space="preserve">530/1990 Sb.</w:t>
        </w:r>
      </w:hyperlink>
      <w:r>
        <w:rPr/>
        <w:t xml:space="preserve">, o dluhopisech, ve znění pozdějších předpisů, a zákon č. </w:t>
      </w:r>
      <w:hyperlink r:id="rId19"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5"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7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3"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6" w:history="1">
        <w:r>
          <w:rPr>
            <w:color w:val="darkblue"/>
            <w:u w:val="single"/>
          </w:rPr>
          <w:t xml:space="preserve">1/1993 Sb.</w:t>
        </w:r>
      </w:hyperlink>
      <w:r>
        <w:rPr>
          <w:sz w:val="19.200000000000003"/>
          <w:szCs w:val="19.200000000000003"/>
        </w:rPr>
        <w:t xml:space="preserve">, Ústava České republiky, ve znění ústavního zákona č. </w:t>
      </w:r>
      <w:hyperlink r:id="rId27"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8"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9"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0"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1"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2"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3"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5"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6"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7"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7"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8"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9"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0"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41" w:history="1">
        <w:r>
          <w:rPr>
            <w:color w:val="darkblue"/>
            <w:u w:val="single"/>
          </w:rPr>
          <w:t xml:space="preserve">256/2004 Sb.</w:t>
        </w:r>
      </w:hyperlink>
      <w:r>
        <w:rPr>
          <w:sz w:val="19.200000000000003"/>
          <w:szCs w:val="19.200000000000003"/>
        </w:rPr>
        <w:t xml:space="preserve">, o podnikání na kapitálovém trhu, ve znění zákona č. </w:t>
      </w:r>
      <w:hyperlink r:id="rId42" w:history="1">
        <w:r>
          <w:rPr>
            <w:color w:val="darkblue"/>
            <w:u w:val="single"/>
          </w:rPr>
          <w:t xml:space="preserve">230/2008 Sb.</w:t>
        </w:r>
      </w:hyperlink>
      <w:r>
        <w:rPr>
          <w:sz w:val="19.200000000000003"/>
          <w:szCs w:val="19.200000000000003"/>
        </w:rPr>
        <w:t xml:space="preserve"> a zákona č. </w:t>
      </w:r>
      <w:hyperlink r:id="rId43"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4"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5"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6"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7" w:history="1">
        <w:r>
          <w:rPr>
            <w:color w:val="darkblue"/>
            <w:u w:val="single"/>
          </w:rPr>
          <w:t xml:space="preserve">§ 6</w:t>
        </w:r>
      </w:hyperlink>
      <w:r>
        <w:rPr>
          <w:sz w:val="19.200000000000003"/>
          <w:szCs w:val="19.200000000000003"/>
        </w:rPr>
        <w:t xml:space="preserve"> odst. 1 zákona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9" w:history="1">
        <w:r>
          <w:rPr>
            <w:color w:val="darkblue"/>
            <w:u w:val="single"/>
          </w:rPr>
          <w:t xml:space="preserve">§ 29</w:t>
        </w:r>
      </w:hyperlink>
      <w:r>
        <w:rPr>
          <w:sz w:val="19.200000000000003"/>
          <w:szCs w:val="19.200000000000003"/>
        </w:rPr>
        <w:t xml:space="preserve"> vyhlášky č. </w:t>
      </w:r>
      <w:hyperlink r:id="rId50"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1"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2"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8"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3"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4" w:history="1">
        <w:r>
          <w:rPr>
            <w:color w:val="darkblue"/>
            <w:u w:val="single"/>
          </w:rPr>
          <w:t xml:space="preserve">§ 321</w:t>
        </w:r>
      </w:hyperlink>
      <w:r>
        <w:rPr>
          <w:sz w:val="19.200000000000003"/>
          <w:szCs w:val="19.200000000000003"/>
        </w:rPr>
        <w:t xml:space="preserve">, </w:t>
      </w:r>
      <w:hyperlink r:id="rId55"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6"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7" w:history="1">
        <w:r>
          <w:rPr>
            <w:color w:val="darkblue"/>
            <w:u w:val="single"/>
          </w:rPr>
          <w:t xml:space="preserve">§ 31</w:t>
        </w:r>
      </w:hyperlink>
      <w:r>
        <w:rPr>
          <w:sz w:val="19.200000000000003"/>
          <w:szCs w:val="19.200000000000003"/>
        </w:rPr>
        <w:t xml:space="preserve"> odst. 6 a </w:t>
      </w:r>
      <w:hyperlink r:id="rId58" w:history="1">
        <w:r>
          <w:rPr>
            <w:color w:val="darkblue"/>
            <w:u w:val="single"/>
          </w:rPr>
          <w:t xml:space="preserve">§ 37a</w:t>
        </w:r>
      </w:hyperlink>
      <w:r>
        <w:rPr>
          <w:sz w:val="19.200000000000003"/>
          <w:szCs w:val="19.200000000000003"/>
        </w:rPr>
        <w:t xml:space="preserve"> zákona č. </w:t>
      </w:r>
      <w:hyperlink r:id="rId5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60"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1"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2" w:history="1">
        <w:r>
          <w:rPr>
            <w:color w:val="darkblue"/>
            <w:u w:val="single"/>
          </w:rPr>
          <w:t xml:space="preserve">§ 2</w:t>
        </w:r>
      </w:hyperlink>
      <w:r>
        <w:rPr>
          <w:sz w:val="19.200000000000003"/>
          <w:szCs w:val="19.200000000000003"/>
        </w:rPr>
        <w:t xml:space="preserve"> zákona č. </w:t>
      </w:r>
      <w:hyperlink r:id="rId63"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4"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5" w:history="1">
        <w:r>
          <w:rPr>
            <w:color w:val="darkblue"/>
            <w:u w:val="single"/>
          </w:rPr>
          <w:t xml:space="preserve">§ 7b</w:t>
        </w:r>
      </w:hyperlink>
      <w:r>
        <w:rPr>
          <w:sz w:val="19.200000000000003"/>
          <w:szCs w:val="19.200000000000003"/>
        </w:rPr>
        <w:t xml:space="preserve"> odst. 1 písm. e) a f) zákona č. </w:t>
      </w:r>
      <w:hyperlink r:id="rId66"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7" w:history="1">
        <w:r>
          <w:rPr>
            <w:color w:val="darkblue"/>
            <w:u w:val="single"/>
          </w:rPr>
          <w:t xml:space="preserve">§ 8</w:t>
        </w:r>
      </w:hyperlink>
      <w:r>
        <w:rPr>
          <w:sz w:val="19.200000000000003"/>
          <w:szCs w:val="19.200000000000003"/>
        </w:rPr>
        <w:t xml:space="preserve"> zákona č. </w:t>
      </w:r>
      <w:hyperlink r:id="rId6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9"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70"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1"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2"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4" w:history="1">
        <w:r>
          <w:rPr>
            <w:color w:val="darkblue"/>
            <w:u w:val="single"/>
          </w:rPr>
          <w:t xml:space="preserve">§ 8</w:t>
        </w:r>
      </w:hyperlink>
      <w:r>
        <w:rPr>
          <w:sz w:val="19.200000000000003"/>
          <w:szCs w:val="19.200000000000003"/>
        </w:rPr>
        <w:t xml:space="preserve"> zákona č. </w:t>
      </w:r>
      <w:hyperlink r:id="rId75" w:history="1">
        <w:r>
          <w:rPr>
            <w:color w:val="darkblue"/>
            <w:u w:val="single"/>
          </w:rPr>
          <w:t xml:space="preserve">114/1995 Sb.</w:t>
        </w:r>
      </w:hyperlink>
      <w:r>
        <w:rPr>
          <w:sz w:val="19.200000000000003"/>
          <w:szCs w:val="19.200000000000003"/>
        </w:rPr>
        <w:t xml:space="preserve">, o vnitrozemské plavbě.</w:t>
      </w:r>
    </w:p>
    <w:p>
      <w:pPr>
        <w:ind w:left="560" w:right="0"/>
      </w:pPr>
      <w:hyperlink r:id="rId76" w:history="1">
        <w:r>
          <w:rPr>
            <w:color w:val="darkblue"/>
            <w:u w:val="single"/>
          </w:rPr>
          <w:t xml:space="preserve">§ 28</w:t>
        </w:r>
      </w:hyperlink>
      <w:r>
        <w:rPr>
          <w:sz w:val="19.200000000000003"/>
          <w:szCs w:val="19.200000000000003"/>
        </w:rPr>
        <w:t xml:space="preserve"> vyhlášky č. </w:t>
      </w:r>
      <w:hyperlink r:id="rId77"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8"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7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0"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1" w:history="1">
        <w:r>
          <w:rPr>
            <w:color w:val="darkblue"/>
            <w:u w:val="single"/>
          </w:rPr>
          <w:t xml:space="preserve">§ 24</w:t>
        </w:r>
      </w:hyperlink>
      <w:r>
        <w:rPr>
          <w:sz w:val="19.200000000000003"/>
          <w:szCs w:val="19.200000000000003"/>
        </w:rPr>
        <w:t xml:space="preserve"> odst. 2 písm. a) až c) zákona č. </w:t>
      </w:r>
      <w:hyperlink r:id="rId82"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3" w:history="1">
        <w:r>
          <w:rPr>
            <w:color w:val="darkblue"/>
            <w:u w:val="single"/>
          </w:rPr>
          <w:t xml:space="preserve">§ 29</w:t>
        </w:r>
      </w:hyperlink>
      <w:r>
        <w:rPr>
          <w:sz w:val="19.200000000000003"/>
          <w:szCs w:val="19.200000000000003"/>
        </w:rPr>
        <w:t xml:space="preserve"> odst. 4 písm. b) a odst. 5 zákona č. </w:t>
      </w:r>
      <w:hyperlink r:id="rId82"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1" w:history="1">
        <w:r>
          <w:rPr>
            <w:color w:val="darkblue"/>
            <w:u w:val="single"/>
          </w:rPr>
          <w:t xml:space="preserve">256/2004 Sb.</w:t>
        </w:r>
      </w:hyperlink>
      <w:r>
        <w:rPr>
          <w:sz w:val="19.200000000000003"/>
          <w:szCs w:val="19.200000000000003"/>
        </w:rPr>
        <w:t xml:space="preserve">, o podnikání na kapitálovém trhu, ve znění zákona č. </w:t>
      </w:r>
      <w:hyperlink r:id="rId84"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5" w:history="1">
        <w:r>
          <w:rPr>
            <w:color w:val="darkblue"/>
            <w:u w:val="single"/>
          </w:rPr>
          <w:t xml:space="preserve">2001/24/ES</w:t>
        </w:r>
      </w:hyperlink>
      <w:r>
        <w:rPr>
          <w:sz w:val="19.200000000000003"/>
          <w:szCs w:val="19.200000000000003"/>
        </w:rPr>
        <w:t xml:space="preserve"> ze dne 4. dubna 2001 o reorganizaci a likvidaci úvěrových institucí a směrnice Evropského parlamentu a Rady </w:t>
      </w:r>
      <w:hyperlink r:id="rId86" w:history="1">
        <w:r>
          <w:rPr>
            <w:color w:val="darkblue"/>
            <w:u w:val="single"/>
          </w:rPr>
          <w:t xml:space="preserve">(EU) 2017/2399</w:t>
        </w:r>
      </w:hyperlink>
      <w:r>
        <w:rPr>
          <w:sz w:val="19.200000000000003"/>
          <w:szCs w:val="19.200000000000003"/>
        </w:rPr>
        <w:t xml:space="preserve"> ze dne 12. prosince 2017, kterou se mění směrnice </w:t>
      </w:r>
      <w:hyperlink r:id="rId87" w:history="1">
        <w:r>
          <w:rPr>
            <w:color w:val="darkblue"/>
            <w:u w:val="single"/>
          </w:rPr>
          <w:t xml:space="preserve">2014/59/EU</w:t>
        </w:r>
      </w:hyperlink>
      <w:r>
        <w:rPr>
          <w:sz w:val="19.200000000000003"/>
          <w:szCs w:val="19.200000000000003"/>
        </w:rPr>
        <w:t xml:space="preserve">, pokud jde o pořadí nezajištěných dluhových nástrojů v insolvenční hierarchii.</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8" w:history="1">
        <w:r>
          <w:rPr>
            <w:color w:val="darkblue"/>
            <w:u w:val="single"/>
          </w:rPr>
          <w:t xml:space="preserve">§ 5a</w:t>
        </w:r>
      </w:hyperlink>
      <w:r>
        <w:rPr>
          <w:sz w:val="19.200000000000003"/>
          <w:szCs w:val="19.200000000000003"/>
        </w:rPr>
        <w:t xml:space="preserve"> až 7a zákona č. </w:t>
      </w:r>
      <w:hyperlink r:id="rId89"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90"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1"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2" w:history="1">
        <w:r>
          <w:rPr>
            <w:color w:val="darkblue"/>
            <w:u w:val="single"/>
          </w:rPr>
          <w:t xml:space="preserve">§ 5c</w:t>
        </w:r>
      </w:hyperlink>
      <w:r>
        <w:rPr>
          <w:sz w:val="19.200000000000003"/>
          <w:szCs w:val="19.200000000000003"/>
        </w:rPr>
        <w:t xml:space="preserve"> zákona č. </w:t>
      </w:r>
      <w:hyperlink r:id="rId93"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4"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5" w:history="1">
        <w:r>
          <w:rPr>
            <w:color w:val="darkblue"/>
            <w:u w:val="single"/>
          </w:rPr>
          <w:t xml:space="preserve">§ 5a</w:t>
        </w:r>
      </w:hyperlink>
      <w:r>
        <w:rPr>
          <w:sz w:val="19.200000000000003"/>
          <w:szCs w:val="19.200000000000003"/>
        </w:rPr>
        <w:t xml:space="preserve"> odst. 1 zákona č. </w:t>
      </w:r>
      <w:hyperlink r:id="rId93" w:history="1">
        <w:r>
          <w:rPr>
            <w:color w:val="darkblue"/>
            <w:u w:val="single"/>
          </w:rPr>
          <w:t xml:space="preserve">363/1999 Sb.</w:t>
        </w:r>
      </w:hyperlink>
      <w:r>
        <w:rPr>
          <w:sz w:val="19.200000000000003"/>
          <w:szCs w:val="19.200000000000003"/>
        </w:rPr>
        <w:t xml:space="preserve">, ve znění zákona č. </w:t>
      </w:r>
      <w:hyperlink r:id="rId94"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3"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6"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97"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32"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96"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98"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41"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99"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36"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7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100"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01"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102"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103"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104"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103"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103"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105" w:history="1">
        <w:r>
          <w:rPr>
            <w:color w:val="darkblue"/>
            <w:u w:val="single"/>
          </w:rPr>
          <w:t xml:space="preserve">89/2012 Sb.</w:t>
        </w:r>
      </w:hyperlink>
      <w:r>
        <w:rPr>
          <w:sz w:val="19.200000000000003"/>
          <w:szCs w:val="19.200000000000003"/>
        </w:rPr>
        <w:t xml:space="preserve">, občanský zákoník.</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9"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9"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9"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9"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9"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9"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9"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p>
      <w:pPr>
        <w:pStyle w:val="Heading1"/>
      </w:pPr>
      <w:r>
        <w:rPr>
          <w:b/>
          <w:bCs/>
        </w:rPr>
        <w:t xml:space="preserve">ČÁST OSMÁ (Čl. XII) zákona č. 307/2018 Sb. zní:</w:t>
      </w:r>
    </w:p>
    <w:p>
      <w:pPr>
        <w:pStyle w:val="Heading2"/>
      </w:pPr>
      <w:r>
        <w:rPr>
          <w:b/>
          <w:bCs/>
        </w:rPr>
        <w:t xml:space="preserve">Čl. 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Insolvenční řízení, které nebylo přede dnem nabytí účinnosti tohoto zákona pravomocně ukončeno, se dokončí podle zákona č. </w:t>
      </w:r>
      <w:hyperlink r:id="rId9"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vztahu k hypotečním zástavním listům podle </w:t>
      </w:r>
      <w:hyperlink r:id="rId106" w:history="1">
        <w:r>
          <w:rPr>
            <w:color w:val="darkblue"/>
            <w:u w:val="single"/>
          </w:rPr>
          <w:t xml:space="preserve">§ 28</w:t>
        </w:r>
      </w:hyperlink>
      <w:r>
        <w:rPr/>
        <w:t xml:space="preserve"> odst. 1 zákona č. </w:t>
      </w:r>
      <w:hyperlink r:id="rId53" w:history="1">
        <w:r>
          <w:rPr>
            <w:color w:val="darkblue"/>
            <w:u w:val="single"/>
          </w:rPr>
          <w:t xml:space="preserve">190/2004 Sb.</w:t>
        </w:r>
      </w:hyperlink>
      <w:r>
        <w:rPr/>
        <w:t xml:space="preserve">, o dluhopisech ve znění účinném přede dnem nabytí účinnosti tohoto zákona, jejichž datum emise předchází dni nabytí účinnosti tohoto zákona a které se nepovažují za kryté dluhopisy podle zákona č. </w:t>
      </w:r>
      <w:hyperlink r:id="rId53" w:history="1">
        <w:r>
          <w:rPr>
            <w:color w:val="darkblue"/>
            <w:u w:val="single"/>
          </w:rPr>
          <w:t xml:space="preserve">190/2004 Sb.</w:t>
        </w:r>
      </w:hyperlink>
      <w:r>
        <w:rPr/>
        <w:t xml:space="preserve">, ve znění účinném ode dne nabytí účinnosti tohoto zákona, se postupuje podle </w:t>
      </w:r>
      <w:r>
        <w:rPr/>
        <w:t xml:space="preserve">§ 375</w:t>
      </w:r>
      <w:r>
        <w:rPr/>
        <w:t xml:space="preserve"> zákona č. </w:t>
      </w:r>
      <w:hyperlink r:id="rId9"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stanovení pořadí uspokojování nezajištěných pohledávek z dluhových nástrojů vydaných osobou, která je povinnou osobou podle zákona upravujícího ozdravné postupy a řešení krize na finančním trhu, přede dnem nabytí účinnosti tohoto zákona, se použijí dosavadní právní předpisy.</w:t>
      </w:r>
    </w:p>
    <w:p>
      <w:pPr>
        <w:pStyle w:val="Heading1"/>
      </w:pPr>
      <w:r>
        <w:rPr>
          <w:b/>
          <w:bCs/>
        </w:rPr>
        <w:t xml:space="preserve">ČÁST DESÁTÁ (Čl. XVIII) zákona č. 80/2019 Sb. zní:</w:t>
      </w:r>
    </w:p>
    <w:p>
      <w:pPr>
        <w:pStyle w:val="Heading2"/>
      </w:pPr>
      <w:r>
        <w:rPr>
          <w:b/>
          <w:bCs/>
        </w:rPr>
        <w:t xml:space="preserve">Čl. XVIII</w:t>
      </w:r>
      <w:r>
        <w:rPr>
          <w:rStyle w:val="hidden"/>
        </w:rPr>
        <w:t xml:space="preserve"> -</w:t>
      </w:r>
      <w:br/>
      <w:r>
        <w:rPr/>
        <w:t xml:space="preserve">Přechodné ustanovení</w:t>
      </w:r>
    </w:p>
    <w:p>
      <w:pPr>
        <w:ind w:left="0" w:right="0"/>
      </w:pPr>
      <w:r>
        <w:rPr/>
        <w:t xml:space="preserve">Insolvenční řízení pravomocně neskončená přede dnem nabytí účinnosti tohoto zákona se dokončí podle zákona č. </w:t>
      </w:r>
      <w:hyperlink r:id="rId9" w:history="1">
        <w:r>
          <w:rPr>
            <w:color w:val="darkblue"/>
            <w:u w:val="single"/>
          </w:rPr>
          <w:t xml:space="preserve">182/2006 Sb.</w:t>
        </w:r>
      </w:hyperlink>
      <w:r>
        <w:rPr/>
        <w:t xml:space="preserve">, ve znění účinném přede dnem nabytí účinnosti tohoto zákona.</w:t>
      </w:r>
    </w:p>
    <w:sectPr>
      <w:headerReference w:type="default" r:id="rId107"/>
      <w:footerReference w:type="default" r:id="rId10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80/2019 Sb. z </w:t>
          </w:r>
          <w:r>
            <w:rPr>
              <w:rStyle w:val="bold"/>
            </w:rPr>
            <w:t xml:space="preserve">1. 4. 2019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07s296#C01_H04_P043" TargetMode="External"/><Relationship Id="rId9" Type="http://schemas.openxmlformats.org/officeDocument/2006/relationships/hyperlink" Target="https://esipa.cz/sbirka/sbsrv.dll/sb?DR=SB&amp;CP=2006s182" TargetMode="External"/><Relationship Id="rId10" Type="http://schemas.openxmlformats.org/officeDocument/2006/relationships/hyperlink" Target="https://esipa.cz/sbirka/sbsrv.dll/sb?DR=AZ&amp;CP=1963s099-2007s296#C04_H01_P219A" TargetMode="External"/><Relationship Id="rId11" Type="http://schemas.openxmlformats.org/officeDocument/2006/relationships/hyperlink" Target="https://esipa.cz/sbirka/sbsrv.dll/sb?DR=SB&amp;CP=2007s296" TargetMode="External"/><Relationship Id="rId12" Type="http://schemas.openxmlformats.org/officeDocument/2006/relationships/hyperlink" Target="https://esipa.cz/sbirka/sbsrv.dll/sb?DR=SB&amp;CP=2013s294" TargetMode="External"/><Relationship Id="rId13" Type="http://schemas.openxmlformats.org/officeDocument/2006/relationships/hyperlink" Target="https://esipa.cz/sbirka/sbsrv.dll/sb?DR=SB&amp;CP=2011s139" TargetMode="External"/><Relationship Id="rId14" Type="http://schemas.openxmlformats.org/officeDocument/2006/relationships/hyperlink" Target="https://esipa.cz/sbirka/sbsrv.dll/sb?CP=2008s056&amp;DR=SB#C02_H04_D001_OD001_P367%23C02_H04_D001_OD001_P367" TargetMode="External"/><Relationship Id="rId15" Type="http://schemas.openxmlformats.org/officeDocument/2006/relationships/hyperlink" Target="https://esipa.cz/sbirka/sbsrv.dll/sb?CP=2008s056&amp;DR=SB#C01_H04_D001_P097%23C01_H04_D001_P097" TargetMode="External"/><Relationship Id="rId16" Type="http://schemas.openxmlformats.org/officeDocument/2006/relationships/hyperlink" Target="https://esipa.cz/sbirka/sbsrv.dll/sb?DR=AZ&amp;CP=1992s021-2017s371#C14_P041H" TargetMode="External"/><Relationship Id="rId17" Type="http://schemas.openxmlformats.org/officeDocument/2006/relationships/hyperlink" Target="https://esipa.cz/sbirka/sbsrv.dll/sb?DR=AZ&amp;CP=2015s374-2017s183#C09_H02_P221" TargetMode="External"/><Relationship Id="rId18" Type="http://schemas.openxmlformats.org/officeDocument/2006/relationships/hyperlink" Target="https://esipa.cz/sbirka/sbsrv.dll/sb?DR=SB&amp;CP=2017s064" TargetMode="External"/><Relationship Id="rId19" Type="http://schemas.openxmlformats.org/officeDocument/2006/relationships/hyperlink" Target="https://esipa.cz/sbirka/sbsrv.dll/sb?DR=SB&amp;CP=1991s328" TargetMode="External"/><Relationship Id="rId20" Type="http://schemas.openxmlformats.org/officeDocument/2006/relationships/hyperlink" Target="https://esipa.cz/sbirka/sbsrv.dll/sb?DR=SB&amp;CP=1993s122" TargetMode="External"/><Relationship Id="rId21" Type="http://schemas.openxmlformats.org/officeDocument/2006/relationships/hyperlink" Target="https://esipa.cz/sbirka/sbsrv.dll/sb?DR=SB&amp;CP=1998s012" TargetMode="External"/><Relationship Id="rId22" Type="http://schemas.openxmlformats.org/officeDocument/2006/relationships/hyperlink" Target="https://esipa.cz/sbirka/sbsrv.dll/sb?DR=SB&amp;CP=2000s214" TargetMode="External"/><Relationship Id="rId23" Type="http://schemas.openxmlformats.org/officeDocument/2006/relationships/hyperlink" Target="https://esipa.cz/sbirka/sbsrv.dll/sb?DR=SB&amp;CP=2000s368" TargetMode="External"/><Relationship Id="rId24" Type="http://schemas.openxmlformats.org/officeDocument/2006/relationships/hyperlink" Target="https://esipa.cz/sbirka/sbsrv.dll/sb?DR=SB&amp;CP=1990s530" TargetMode="External"/><Relationship Id="rId25" Type="http://schemas.openxmlformats.org/officeDocument/2006/relationships/hyperlink" Target="https://esipa.cz/sbirka/sbsrv.dll/sb?DR=SB&amp;CP=1991s476" TargetMode="External"/><Relationship Id="rId26" Type="http://schemas.openxmlformats.org/officeDocument/2006/relationships/hyperlink" Target="https://esipa.cz/sbirka/sbsrv.dll/sb?DR=SB&amp;CP=1993s001" TargetMode="External"/><Relationship Id="rId27" Type="http://schemas.openxmlformats.org/officeDocument/2006/relationships/hyperlink" Target="https://esipa.cz/sbirka/sbsrv.dll/sb?DR=SB&amp;CP=1997s347" TargetMode="External"/><Relationship Id="rId28" Type="http://schemas.openxmlformats.org/officeDocument/2006/relationships/hyperlink" Target="https://esipa.cz/sbirka/sbsrv.dll/sb?DR=SB&amp;CP=2011s466" TargetMode="External"/><Relationship Id="rId29" Type="http://schemas.openxmlformats.org/officeDocument/2006/relationships/hyperlink" Target="https://esipa.cz/sbirka/sbsrv.dll/sb?DR=SB&amp;CP=1992s280" TargetMode="External"/><Relationship Id="rId30" Type="http://schemas.openxmlformats.org/officeDocument/2006/relationships/hyperlink" Target="https://esipa.cz/sbirka/sbsrv.dll/sb?DR=AZ&amp;CP=1963s099-2007s296#C03_H01_P092" TargetMode="External"/><Relationship Id="rId31" Type="http://schemas.openxmlformats.org/officeDocument/2006/relationships/hyperlink" Target="https://esipa.cz/sbirka/sbsrv.dll/sb?DR=AZ&amp;CP=1963s099-2007s296#C03_H02_P134" TargetMode="External"/><Relationship Id="rId32" Type="http://schemas.openxmlformats.org/officeDocument/2006/relationships/hyperlink" Target="https://esipa.cz/sbirka/sbsrv.dll/sb?DR=SB&amp;CP=2006s312" TargetMode="External"/><Relationship Id="rId33" Type="http://schemas.openxmlformats.org/officeDocument/2006/relationships/hyperlink" Target="https://esipa.cz/sbirka/sbsrv.dll/sb?DR=SB&amp;CP=2004s235" TargetMode="External"/><Relationship Id="rId34" Type="http://schemas.openxmlformats.org/officeDocument/2006/relationships/hyperlink" Target="https://esipa.cz/sbirka/sbsrv.dll/sb?DR=SB&amp;CP=2000s458" TargetMode="External"/><Relationship Id="rId35" Type="http://schemas.openxmlformats.org/officeDocument/2006/relationships/hyperlink" Target="https://esipa.cz/sbirka/sbsrv.dll/sb?DR=AZ&amp;CP=1964s040-2007s296#C02_H02_P137" TargetMode="External"/><Relationship Id="rId36" Type="http://schemas.openxmlformats.org/officeDocument/2006/relationships/hyperlink" Target="https://esipa.cz/sbirka/sbsrv.dll/sb?DR=SB&amp;CP=1992s586" TargetMode="External"/><Relationship Id="rId37" Type="http://schemas.openxmlformats.org/officeDocument/2006/relationships/hyperlink" Target="https://esipa.cz/sbirka/sbsrv.dll/sb?DR=SB&amp;CP=2007s362" TargetMode="External"/><Relationship Id="rId38" Type="http://schemas.openxmlformats.org/officeDocument/2006/relationships/hyperlink" Target="https://esipa.cz/sbirka/sbsrv.dll/sb?DR=AZ&amp;CP=1991s513-2007s296#C01_H03_P038I" TargetMode="External"/><Relationship Id="rId39" Type="http://schemas.openxmlformats.org/officeDocument/2006/relationships/hyperlink" Target="https://esipa.cz/sbirka/sbsrv.dll/sb?DR=SB&amp;CP=2008s300" TargetMode="External"/><Relationship Id="rId40" Type="http://schemas.openxmlformats.org/officeDocument/2006/relationships/hyperlink" Target="https://esipa.cz/sbirka/sbsrv.dll/sb?DR=AZ&amp;CP=1963s099-2007s296#C01_H04_P053" TargetMode="External"/><Relationship Id="rId41" Type="http://schemas.openxmlformats.org/officeDocument/2006/relationships/hyperlink" Target="https://esipa.cz/sbirka/sbsrv.dll/sb?DR=SB&amp;CP=2004s256" TargetMode="External"/><Relationship Id="rId42" Type="http://schemas.openxmlformats.org/officeDocument/2006/relationships/hyperlink" Target="https://esipa.cz/sbirka/sbsrv.dll/sb?DR=SB&amp;CP=2008s230" TargetMode="External"/><Relationship Id="rId43" Type="http://schemas.openxmlformats.org/officeDocument/2006/relationships/hyperlink" Target="https://esipa.cz/sbirka/sbsrv.dll/sb?DR=SB&amp;CP=2011s188" TargetMode="External"/><Relationship Id="rId44" Type="http://schemas.openxmlformats.org/officeDocument/2006/relationships/hyperlink" Target="https://esipa.cz/sbirka/sbsrv.dll/sb?DR=AZ&amp;CP=1963s099-2007s296#C02_H02_P076" TargetMode="External"/><Relationship Id="rId45" Type="http://schemas.openxmlformats.org/officeDocument/2006/relationships/hyperlink" Target="https://esipa.cz/sbirka/sbsrv.dll/sb?DR=AZ&amp;CP=1963s099-2007s296#C01_H04_P042" TargetMode="External"/><Relationship Id="rId46" Type="http://schemas.openxmlformats.org/officeDocument/2006/relationships/hyperlink" Target="https://esipa.cz/sbirka/sbsrv.dll/sb?DR=AZ&amp;CP=1991s513-2007s296#C02_H01_D01_P066A" TargetMode="External"/><Relationship Id="rId47" Type="http://schemas.openxmlformats.org/officeDocument/2006/relationships/hyperlink" Target="https://esipa.cz/sbirka/sbsrv.dll/sb?DR=AZ&amp;CP=1988s061-2007s296#C02_OD02_P00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AZ&amp;CP=1967s037-2002s432#C04_P029" TargetMode="External"/><Relationship Id="rId50" Type="http://schemas.openxmlformats.org/officeDocument/2006/relationships/hyperlink" Target="https://esipa.cz/sbirka/sbsrv.dll/sb?DR=SB&amp;CP=1967s037" TargetMode="External"/><Relationship Id="rId51" Type="http://schemas.openxmlformats.org/officeDocument/2006/relationships/hyperlink" Target="https://esipa.cz/sbirka/sbsrv.dll/sb?DR=SB&amp;CP=1993s077" TargetMode="External"/><Relationship Id="rId52" Type="http://schemas.openxmlformats.org/officeDocument/2006/relationships/hyperlink" Target="https://esipa.cz/sbirka/sbsrv.dll/sb?DR=AZ&amp;CP=1963s099-2007s296#C03_H01_P079" TargetMode="External"/><Relationship Id="rId53" Type="http://schemas.openxmlformats.org/officeDocument/2006/relationships/hyperlink" Target="https://esipa.cz/sbirka/sbsrv.dll/sb?DR=SB&amp;CP=2004s190" TargetMode="External"/><Relationship Id="rId54" Type="http://schemas.openxmlformats.org/officeDocument/2006/relationships/hyperlink" Target="https://esipa.cz/sbirka/sbsrv.dll/sb?DR=AZ&amp;CP=1963s099-2007s296#C06_H05_P321" TargetMode="External"/><Relationship Id="rId55" Type="http://schemas.openxmlformats.org/officeDocument/2006/relationships/hyperlink" Target="https://esipa.cz/sbirka/sbsrv.dll/sb?DR=AZ&amp;CP=1963s099-2007s296#C06_H05_P322" TargetMode="External"/><Relationship Id="rId56" Type="http://schemas.openxmlformats.org/officeDocument/2006/relationships/hyperlink" Target="https://esipa.cz/sbirka/sbsrv.dll/sb?DR=AZ&amp;CP=1963s099-2007s296#C06_H02_P279" TargetMode="External"/><Relationship Id="rId57" Type="http://schemas.openxmlformats.org/officeDocument/2006/relationships/hyperlink" Target="https://esipa.cz/sbirka/sbsrv.dll/sb?DR=AZ&amp;CP=1988s044-2007s296#C07_P031" TargetMode="External"/><Relationship Id="rId58" Type="http://schemas.openxmlformats.org/officeDocument/2006/relationships/hyperlink" Target="https://esipa.cz/sbirka/sbsrv.dll/sb?DR=AZ&amp;CP=1988s044-2007s296#C09_P037A" TargetMode="External"/><Relationship Id="rId59" Type="http://schemas.openxmlformats.org/officeDocument/2006/relationships/hyperlink" Target="https://esipa.cz/sbirka/sbsrv.dll/sb?DR=SB&amp;CP=1988s044" TargetMode="External"/><Relationship Id="rId60" Type="http://schemas.openxmlformats.org/officeDocument/2006/relationships/hyperlink" Target="https://esipa.cz/sbirka/sbsrv.dll/sb?DR=SB&amp;CP=2000s219" TargetMode="External"/><Relationship Id="rId61" Type="http://schemas.openxmlformats.org/officeDocument/2006/relationships/hyperlink" Target="https://esipa.cz/sbirka/sbsrv.dll/sb?DR=AZ&amp;CP=1991s513-2007s296#C01_H01_D02_P005" TargetMode="External"/><Relationship Id="rId62" Type="http://schemas.openxmlformats.org/officeDocument/2006/relationships/hyperlink" Target="https://esipa.cz/sbirka/sbsrv.dll/sb?DR=AZ&amp;CP=1987s020-2007s158#C01_P002" TargetMode="External"/><Relationship Id="rId63" Type="http://schemas.openxmlformats.org/officeDocument/2006/relationships/hyperlink" Target="https://esipa.cz/sbirka/sbsrv.dll/sb?DR=SB&amp;CP=1987s020" TargetMode="External"/><Relationship Id="rId64" Type="http://schemas.openxmlformats.org/officeDocument/2006/relationships/hyperlink" Target="https://esipa.cz/sbirka/sbsrv.dll/sb?DR=AZ&amp;CP=1991s513-2007s296#C02_H01_D01_P058" TargetMode="External"/><Relationship Id="rId65" Type="http://schemas.openxmlformats.org/officeDocument/2006/relationships/hyperlink" Target="https://esipa.cz/sbirka/sbsrv.dll/sb?DR=AZ&amp;CP=1996s085-2007s296#C02_H01_P007B" TargetMode="External"/><Relationship Id="rId66" Type="http://schemas.openxmlformats.org/officeDocument/2006/relationships/hyperlink" Target="https://esipa.cz/sbirka/sbsrv.dll/sb?DR=SB&amp;CP=1996s085" TargetMode="External"/><Relationship Id="rId67" Type="http://schemas.openxmlformats.org/officeDocument/2006/relationships/hyperlink" Target="https://esipa.cz/sbirka/sbsrv.dll/sb?DR=AZ&amp;CP=1991s455-2007s296#C01_H02_P008" TargetMode="External"/><Relationship Id="rId68" Type="http://schemas.openxmlformats.org/officeDocument/2006/relationships/hyperlink" Target="https://esipa.cz/sbirka/sbsrv.dll/sb?DR=SB&amp;CP=1991s455" TargetMode="External"/><Relationship Id="rId69" Type="http://schemas.openxmlformats.org/officeDocument/2006/relationships/hyperlink" Target="https://esipa.cz/sbirka/sbsrv.dll/sb?DR=AZ&amp;CP=1963s099-2007s296#C03_H01_P091" TargetMode="External"/><Relationship Id="rId70" Type="http://schemas.openxmlformats.org/officeDocument/2006/relationships/hyperlink" Target="https://esipa.cz/sbirka/sbsrv.dll/sb?DR=AZ&amp;CP=1963s099-2007s296#C03_H01_P093" TargetMode="External"/><Relationship Id="rId71" Type="http://schemas.openxmlformats.org/officeDocument/2006/relationships/hyperlink" Target="https://esipa.cz/sbirka/sbsrv.dll/sb?DR=SB&amp;CP=2000s118" TargetMode="External"/><Relationship Id="rId72" Type="http://schemas.openxmlformats.org/officeDocument/2006/relationships/hyperlink" Target="https://esipa.cz/sbirka/sbsrv.dll/sb?DR=SB&amp;CP=2004s436" TargetMode="External"/><Relationship Id="rId73" Type="http://schemas.openxmlformats.org/officeDocument/2006/relationships/hyperlink" Target="https://esipa.cz/sbirka/sbsrv.dll/sb?DR=SB&amp;CP=1992s589" TargetMode="External"/><Relationship Id="rId74" Type="http://schemas.openxmlformats.org/officeDocument/2006/relationships/hyperlink" Target="https://esipa.cz/sbirka/sbsrv.dll/sb?DR=AZ&amp;CP=1995s114-2006s186#C03_P008" TargetMode="External"/><Relationship Id="rId75" Type="http://schemas.openxmlformats.org/officeDocument/2006/relationships/hyperlink" Target="https://esipa.cz/sbirka/sbsrv.dll/sb?DR=SB&amp;CP=1995s114" TargetMode="External"/><Relationship Id="rId76" Type="http://schemas.openxmlformats.org/officeDocument/2006/relationships/hyperlink" Target="https://esipa.cz/sbirka/sbsrv.dll/sb?DR=AZ&amp;CP=1995s222-2006s517#P028" TargetMode="External"/><Relationship Id="rId77" Type="http://schemas.openxmlformats.org/officeDocument/2006/relationships/hyperlink" Target="https://esipa.cz/sbirka/sbsrv.dll/sb?DR=SB&amp;CP=1995s222" TargetMode="External"/><Relationship Id="rId78" Type="http://schemas.openxmlformats.org/officeDocument/2006/relationships/hyperlink" Target="https://esipa.cz/sbirka/sbsrv.dll/sb?DR=SB&amp;CP=2000s026" TargetMode="External"/><Relationship Id="rId79" Type="http://schemas.openxmlformats.org/officeDocument/2006/relationships/hyperlink" Target="https://esipa.cz/sbirka/sbsrv.dll/sb?DR=SB&amp;CP=1991s563" TargetMode="External"/><Relationship Id="rId80" Type="http://schemas.openxmlformats.org/officeDocument/2006/relationships/hyperlink" Target="https://esipa.cz/sbirka/sbsrv.dll/sb?DR=SB&amp;CP=2001s143" TargetMode="External"/><Relationship Id="rId81" Type="http://schemas.openxmlformats.org/officeDocument/2006/relationships/hyperlink" Target="https://esipa.cz/sbirka/sbsrv.dll/sb?DR=AZ&amp;CP=2002s124-2007s120#C04_P024" TargetMode="External"/><Relationship Id="rId82" Type="http://schemas.openxmlformats.org/officeDocument/2006/relationships/hyperlink" Target="https://esipa.cz/sbirka/sbsrv.dll/sb?DR=SB&amp;CP=2002s124" TargetMode="External"/><Relationship Id="rId83" Type="http://schemas.openxmlformats.org/officeDocument/2006/relationships/hyperlink" Target="https://esipa.cz/sbirka/sbsrv.dll/sb?DR=AZ&amp;CP=2002s124-2007s120#C04_P029" TargetMode="External"/><Relationship Id="rId84" Type="http://schemas.openxmlformats.org/officeDocument/2006/relationships/hyperlink" Target="https://esipa.cz/sbirka/sbsrv.dll/sb?DR=SB&amp;CP=2010s409" TargetMode="External"/><Relationship Id="rId85" Type="http://schemas.openxmlformats.org/officeDocument/2006/relationships/hyperlink" Target="https://esipa.cz/sbirka/sbsrv.dll/sb?DR=SB&amp;CP=32001L0024" TargetMode="External"/><Relationship Id="rId86" Type="http://schemas.openxmlformats.org/officeDocument/2006/relationships/hyperlink" Target="https://esipa.cz/sbirka/sbsrv.dll/sb?DR=SB&amp;CP=32017L2399" TargetMode="External"/><Relationship Id="rId87" Type="http://schemas.openxmlformats.org/officeDocument/2006/relationships/hyperlink" Target="https://esipa.cz/sbirka/sbsrv.dll/sb?DR=SB&amp;CP=32014L0059" TargetMode="External"/><Relationship Id="rId88" Type="http://schemas.openxmlformats.org/officeDocument/2006/relationships/hyperlink" Target="https://esipa.cz/sbirka/sbsrv.dll/sb?DR=AZ&amp;CP=1992s021-2007s296#C02_P005A" TargetMode="External"/><Relationship Id="rId89" Type="http://schemas.openxmlformats.org/officeDocument/2006/relationships/hyperlink" Target="https://esipa.cz/sbirka/sbsrv.dll/sb?DR=SB&amp;CP=1992s021" TargetMode="External"/><Relationship Id="rId90" Type="http://schemas.openxmlformats.org/officeDocument/2006/relationships/hyperlink" Target="https://esipa.cz/sbirka/sbsrv.dll/sb?DR=SB&amp;CP=32000L0012" TargetMode="External"/><Relationship Id="rId91" Type="http://schemas.openxmlformats.org/officeDocument/2006/relationships/hyperlink" Target="https://esipa.cz/sbirka/sbsrv.dll/sb?DR=SB&amp;CP=32001L0017" TargetMode="External"/><Relationship Id="rId92" Type="http://schemas.openxmlformats.org/officeDocument/2006/relationships/hyperlink" Target="https://esipa.cz/sbirka/sbsrv.dll/sb?DR=AZ&amp;CP=1999s363-2007s296#C01_H01_P005C" TargetMode="External"/><Relationship Id="rId93" Type="http://schemas.openxmlformats.org/officeDocument/2006/relationships/hyperlink" Target="https://esipa.cz/sbirka/sbsrv.dll/sb?DR=SB&amp;CP=1999s363" TargetMode="External"/><Relationship Id="rId94" Type="http://schemas.openxmlformats.org/officeDocument/2006/relationships/hyperlink" Target="https://esipa.cz/sbirka/sbsrv.dll/sb?DR=SB&amp;CP=2004s039" TargetMode="External"/><Relationship Id="rId95" Type="http://schemas.openxmlformats.org/officeDocument/2006/relationships/hyperlink" Target="https://esipa.cz/sbirka/sbsrv.dll/sb?DR=AZ&amp;CP=1999s363-2007s296#C01_H01_P005A" TargetMode="External"/><Relationship Id="rId96" Type="http://schemas.openxmlformats.org/officeDocument/2006/relationships/hyperlink" Target="https://esipa.cz/sbirka/sbsrv.dll/sb?DR=SB&amp;CP=2004s499" TargetMode="External"/><Relationship Id="rId97" Type="http://schemas.openxmlformats.org/officeDocument/2006/relationships/hyperlink" Target="https://esipa.cz/sbirka/sbsrv.dll/sb?DR=SB&amp;CP=32015R0848" TargetMode="External"/><Relationship Id="rId98" Type="http://schemas.openxmlformats.org/officeDocument/2006/relationships/hyperlink" Target="https://esipa.cz/sbirka/sbsrv.dll/sb?DR=SB&amp;CP=2009s190" TargetMode="External"/><Relationship Id="rId99" Type="http://schemas.openxmlformats.org/officeDocument/2006/relationships/hyperlink" Target="https://esipa.cz/sbirka/sbsrv.dll/sb?DR=SB&amp;CP=1991s582" TargetMode="External"/><Relationship Id="rId100" Type="http://schemas.openxmlformats.org/officeDocument/2006/relationships/hyperlink" Target="https://esipa.cz/sbirka/sbsrv.dll/sb?DR=SB&amp;CP=2009s093" TargetMode="External"/><Relationship Id="rId101" Type="http://schemas.openxmlformats.org/officeDocument/2006/relationships/hyperlink" Target="https://esipa.cz/sbirka/sbsrv.dll/sb?DR=SB&amp;CP=2008s253" TargetMode="External"/><Relationship Id="rId102" Type="http://schemas.openxmlformats.org/officeDocument/2006/relationships/hyperlink" Target="https://esipa.cz/sbirka/sbsrv.dll/sb?DR=SB&amp;CP=1994s269" TargetMode="External"/><Relationship Id="rId103" Type="http://schemas.openxmlformats.org/officeDocument/2006/relationships/hyperlink" Target="https://esipa.cz/sbirka/sbsrv.dll/sb?DR=SB&amp;CP=2013s304" TargetMode="External"/><Relationship Id="rId104" Type="http://schemas.openxmlformats.org/officeDocument/2006/relationships/hyperlink" Target="https://esipa.cz/sbirka/sbsrv.dll/sb?DR=SB&amp;CP=2015s087" TargetMode="External"/><Relationship Id="rId105" Type="http://schemas.openxmlformats.org/officeDocument/2006/relationships/hyperlink" Target="https://esipa.cz/sbirka/sbsrv.dll/sb?DR=SB&amp;CP=2012s089" TargetMode="External"/><Relationship Id="rId106" Type="http://schemas.openxmlformats.org/officeDocument/2006/relationships/hyperlink" Target="https://esipa.cz/sbirka/sbsrv.dll/sb?DR=AZ&amp;CP=2004s190%E2%80%912017s183#C02_H03_P028" TargetMode="External"/><Relationship Id="rId107" Type="http://schemas.openxmlformats.org/officeDocument/2006/relationships/header" Target="header1.xml"/><Relationship Id="rId10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80/2019 Sb. z 1. 4. 2019</dc:title>
  <dc:description>Zákon o úpadku a způsobech jeho řešení (insolvenční zákon)</dc:description>
  <dc:subject/>
  <cp:keywords/>
  <cp:category/>
  <cp:lastModifiedBy/>
  <dcterms:created xsi:type="dcterms:W3CDTF">2019-04-01T00:00:00+02:00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