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včetně možnosti využití automatizovaných modelů, a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důkladně posoudí úvěruschopnost spotřebitele na základě informací nezbytných, spolehlivých, dostatečných a přiměřených k povaze, délce, výši a rizikovosti úvěru pro spotřebitele, získaných z relevantních vnitřních nebo vnějších zdrojů, včetně spotřebitele, a pokud je to nezbytné, z databáze umožňující posouzení úvěruschopnosti spotřebitele.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schopnost spotřebitele plnit povinnosti sjednané ve smlouvě, zejména splácet sjednané splátky spotřebitelského úvěru, a to na základě porovnání příjmů a výdajů a dalších údajů o finanční a ekonomické situaci spotřebitele, jako jsou údaje o jeho majetku a závazcích a o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 86 odst. 1 větou druhou, je smlouva neplatná. Soud k neplatnosti přihlédne i bez návrhu.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117a</w:t>
      </w:r>
      <w:r>
        <w:rPr>
          <w:rStyle w:val="hidden"/>
        </w:rPr>
        <w:t xml:space="preserve"> -</w:t>
      </w:r>
      <w:br/>
      <w:r>
        <w:rPr/>
        <w:t xml:space="preserve">Určení výše účelně vynaložených nákladů za předčasné placení</w:t>
      </w:r>
    </w:p>
    <w:p>
      <w:pPr>
        <w:ind w:left="0" w:right="0"/>
      </w:pPr>
      <w:r>
        <w:rPr>
          <w:b/>
          <w:bCs/>
        </w:rPr>
        <w:t xml:space="preserve">(1)</w:t>
      </w:r>
      <w:r>
        <w:rPr/>
        <w:t xml:space="preserve"> Pro účely náhrady nákladů za předčasné splacení podle </w:t>
      </w:r>
      <w:r>
        <w:rPr/>
        <w:t xml:space="preserve">§ 117</w:t>
      </w:r>
      <w:r>
        <w:rPr/>
        <w:t xml:space="preserve"> odst. 2 u spotřebitelského úvěru na bydlení podle </w:t>
      </w:r>
      <w:r>
        <w:rPr/>
        <w:t xml:space="preserve">§ 2</w:t>
      </w:r>
      <w:r>
        <w:rPr/>
        <w:t xml:space="preserve"> odst. 2 písm. b) nebo c) věřiteli, který je oprávněn poskytovat spotřebitelský úvěr na bydlení, se rozumí průměrem zápůjčních úrokových sazeb průměr zápůjčních úrokových sazeb u spotřebitelských úvěrů na bydlení sjednaných v období 3 po sobě jdoucích kalendářních měsíců, který Česká národní banka vypočítá za každé 3 po sobě jdoucí kalendářní měsíce pro spotřebitelské úvěry na bydlení členěné do skupin podle srovnatelné délky období, pro které je sjednána pevná zápůjční úroková sazba, a podle toho, zda jde o spotřebitelský úvěr na bydlení podle </w:t>
      </w:r>
      <w:r>
        <w:rPr/>
        <w:t xml:space="preserve">§ 2</w:t>
      </w:r>
      <w:r>
        <w:rPr/>
        <w:t xml:space="preserve"> odst. 2 písm. b) zajištěný zástavním právem k nemovité věci nebo tímto zástavním právem nezajištěný nebo o spotřebitelský úvěr na bydlení podle </w:t>
      </w:r>
      <w:r>
        <w:rPr/>
        <w:t xml:space="preserve">§ 2</w:t>
      </w:r>
      <w:r>
        <w:rPr/>
        <w:t xml:space="preserve"> odst. 2 písm. c) zajištěný zástavním právem k nemovité věci nebo tímto zástavním právem nezajištěný.</w:t>
      </w:r>
    </w:p>
    <w:p>
      <w:pPr>
        <w:ind w:left="0" w:right="0"/>
      </w:pPr>
      <w:r>
        <w:rPr>
          <w:b/>
          <w:bCs/>
        </w:rPr>
        <w:t xml:space="preserve">(2)</w:t>
      </w:r>
      <w:r>
        <w:rPr/>
        <w:t xml:space="preserve"> Česká národní banka uveřejňuje průměry zápůjčních úrokových sazeb na svých internetových stránkách měsíčně v druhém kalendářním měsíci následujícím po období, za které se průměry zápůjčních úrokových sazeb vypočítají, a to do desátého dne tohoto měsíce na dobu 10 let od kalendářního měsíce následujícího po dni jejich uveřejnění.</w:t>
      </w:r>
    </w:p>
    <w:p>
      <w:pPr>
        <w:ind w:left="0" w:right="0"/>
      </w:pPr>
      <w:r>
        <w:rPr>
          <w:b/>
          <w:bCs/>
        </w:rPr>
        <w:t xml:space="preserve">(3)</w:t>
      </w:r>
      <w:r>
        <w:rPr/>
        <w:t xml:space="preserve"> Podrobnosti určení srovnatelné délky období, pro které je sjednána pevná zápůjční úroková sazba, a členění spotřebitelských úvěrů na bydlení do skupin podle srovnatelné délky období, pro které je sjednána pevná zápůjční úroková sazba, a podle toho, zda jde o spotřebitelský úvěr na bydlení podle </w:t>
      </w:r>
      <w:r>
        <w:rPr/>
        <w:t xml:space="preserve">§ 2</w:t>
      </w:r>
      <w:r>
        <w:rPr/>
        <w:t xml:space="preserve"> odst. 2 písm. b) zajištěný zástavním právem k nemovité věci nebo tímto zástavním právem nezajištěný nebo o spotřebitelský úvěr na bydlení podle </w:t>
      </w:r>
      <w:r>
        <w:rPr/>
        <w:t xml:space="preserve">§ 2</w:t>
      </w:r>
      <w:r>
        <w:rPr/>
        <w:t xml:space="preserve"> odst. 2 písm. c) zajištěný zástavním právem k nemovité věci nebo tímto zástavním právem nezajištěný, stanoví prováděcí právní předpis.</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 11 odst. 5, § 12 odst. 3, § 13 odst. 3, § 14 odst. 3, § 19 odst. 4, § 20 odst. 3, § 22 odst. 3, § 30 odst. 4, § 32 odst. 6, § 33 odst. 4, § 40 odst. 4, § 42 odst. 5, § 43 odst. 4, § 59 odst. 5, § 60 odst. 6, § 63 odst. 3, § 64 odst. 4, § 65 odst. 4, § 66 odst. 2, § 68 odst. 4, </w:t>
      </w:r>
      <w:r>
        <w:rPr/>
        <w:t xml:space="preserve">§ 69</w:t>
      </w:r>
      <w:r>
        <w:rPr/>
        <w:t xml:space="preserve"> odst. 5 a </w:t>
      </w:r>
      <w:r>
        <w:rPr/>
        <w:t xml:space="preserve">§ 117a</w:t>
      </w:r>
      <w:r>
        <w:rPr/>
        <w:t xml:space="preserve"> odst. 3.</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w:t>
      </w:r>
      <w:hyperlink r:id="rId29" w:history="1">
        <w:r>
          <w:rPr>
            <w:color w:val="darkblue"/>
            <w:u w:val="single"/>
          </w:rPr>
          <w:t xml:space="preserve">186/2020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30" w:history="1">
        <w:r>
          <w:rPr>
            <w:color w:val="darkblue"/>
            <w:u w:val="single"/>
          </w:rPr>
          <w:t xml:space="preserve">257/2016 Sb.</w:t>
        </w:r>
      </w:hyperlink>
      <w:r>
        <w:rPr/>
        <w:t xml:space="preserve">, ve znění účinném ode dne nabytí účinnosti tohoto zákona, § 122 odst. 4 nebo 5 zákona č. </w:t>
      </w:r>
      <w:hyperlink r:id="rId30"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30"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30" w:history="1">
        <w:r>
          <w:rPr>
            <w:color w:val="darkblue"/>
            <w:u w:val="single"/>
          </w:rPr>
          <w:t xml:space="preserve">257/2016 Sb.</w:t>
        </w:r>
      </w:hyperlink>
      <w:r>
        <w:rPr/>
        <w:t xml:space="preserve">, ve znění účinném ode dne nabytí účinnosti tohoto zákona, považuje za úrok z prodlení.</w:t>
      </w:r>
    </w:p>
    <w:p>
      <w:pPr>
        <w:pStyle w:val="Heading1"/>
      </w:pPr>
      <w:r>
        <w:rPr>
          <w:b/>
          <w:bCs/>
        </w:rPr>
        <w:t xml:space="preserve">ČÁST DESÁTÁ (ČI. XV) a ČÁST JEDENÁCTÁ (ČI. XVI) zákona č. </w:t>
      </w:r>
      <w:hyperlink r:id="rId31" w:history="1">
        <w:r>
          <w:rPr>
            <w:color w:val="darkblue"/>
            <w:u w:val="single"/>
          </w:rPr>
          <w:t xml:space="preserve">462/2023 Sb.</w:t>
        </w:r>
      </w:hyperlink>
      <w:r>
        <w:rPr>
          <w:b/>
          <w:bCs/>
        </w:rPr>
        <w:t xml:space="preserve"> znějí:</w:t>
      </w:r>
    </w:p>
    <w:p>
      <w:pPr>
        <w:pStyle w:val="Heading2"/>
      </w:pPr>
      <w:r>
        <w:rPr>
          <w:b/>
          <w:bCs/>
        </w:rPr>
        <w:t xml:space="preserve">Čl. 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Česká národní banka začne uveřejňovat průměry zápůjčních úrokových sazeb podle </w:t>
      </w:r>
      <w:r>
        <w:rPr/>
        <w:t xml:space="preserve">§ 117a</w:t>
      </w:r>
      <w:r>
        <w:rPr/>
        <w:t xml:space="preserve"> odst. 2 zákona č. </w:t>
      </w:r>
      <w:hyperlink r:id="rId30" w:history="1">
        <w:r>
          <w:rPr>
            <w:color w:val="darkblue"/>
            <w:u w:val="single"/>
          </w:rPr>
          <w:t xml:space="preserve">257/2016 Sb.</w:t>
        </w:r>
      </w:hyperlink>
      <w:r>
        <w:rPr/>
        <w:t xml:space="preserve">, ve znění účinném ode dne nabytí účinnosti </w:t>
      </w:r>
      <w:hyperlink r:id="rId32" w:history="1">
        <w:r>
          <w:rPr>
            <w:color w:val="darkblue"/>
            <w:u w:val="single"/>
          </w:rPr>
          <w:t xml:space="preserve">čl. XIV</w:t>
        </w:r>
      </w:hyperlink>
      <w:r>
        <w:rPr/>
        <w:t xml:space="preserve"> bodů 13 a 16, od osmého kalendářního měsíce následujícího po dni vyhlášení tohoto zákona.</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dnem 1. ledna 2024,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w:t>
      </w:r>
      <w:hyperlink r:id="rId33" w:history="1">
        <w:r>
          <w:rPr>
            <w:color w:val="darkblue"/>
            <w:u w:val="single"/>
          </w:rPr>
          <w:t xml:space="preserve">čl. III</w:t>
        </w:r>
      </w:hyperlink>
      <w:r>
        <w:rPr/>
        <w:t xml:space="preserve"> bodů 1 a 2, části desáté </w:t>
      </w:r>
      <w:hyperlink r:id="rId32" w:history="1">
        <w:r>
          <w:rPr>
            <w:color w:val="darkblue"/>
            <w:u w:val="single"/>
          </w:rPr>
          <w:t xml:space="preserve">čl. XIV</w:t>
        </w:r>
      </w:hyperlink>
      <w:r>
        <w:rPr/>
        <w:t xml:space="preserve"> bodů 13 a 16 a </w:t>
      </w:r>
      <w:hyperlink r:id="rId34" w:history="1">
        <w:r>
          <w:rPr>
            <w:color w:val="darkblue"/>
            <w:u w:val="single"/>
          </w:rPr>
          <w:t xml:space="preserve">čl. XV</w:t>
        </w:r>
      </w:hyperlink>
      <w:r>
        <w:rPr/>
        <w:t xml:space="preserve"> bodu 1, která nabývají účinnosti prvním dnem čtvrtého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desáté </w:t>
      </w:r>
      <w:hyperlink r:id="rId32" w:history="1">
        <w:r>
          <w:rPr>
            <w:color w:val="darkblue"/>
            <w:u w:val="single"/>
          </w:rPr>
          <w:t xml:space="preserve">čl. XIV</w:t>
        </w:r>
      </w:hyperlink>
      <w:r>
        <w:rPr/>
        <w:t xml:space="preserve"> bodů 1, 2, 6 až 12, 14, 15 a 17 a </w:t>
      </w:r>
      <w:hyperlink r:id="rId34" w:history="1">
        <w:r>
          <w:rPr>
            <w:color w:val="darkblue"/>
            <w:u w:val="single"/>
          </w:rPr>
          <w:t xml:space="preserve">čl. XV</w:t>
        </w:r>
      </w:hyperlink>
      <w:r>
        <w:rPr/>
        <w:t xml:space="preserve"> bodu 2, která nabývají účinnosti prvním dnem devátého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části čtvrté </w:t>
      </w:r>
      <w:hyperlink r:id="rId35" w:history="1">
        <w:r>
          <w:rPr>
            <w:color w:val="darkblue"/>
            <w:u w:val="single"/>
          </w:rPr>
          <w:t xml:space="preserve">čl. V</w:t>
        </w:r>
      </w:hyperlink>
      <w:r>
        <w:rPr/>
        <w:t xml:space="preserve">, které nabývá účinnosti dnem 1. ledna 2025.</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462/2023 Sb. z </w:t>
          </w:r>
          <w:r>
            <w:rPr>
              <w:rStyle w:val="bold"/>
            </w:rPr>
            <w:t xml:space="preserve">1. 4. 2024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20s186" TargetMode="External"/><Relationship Id="rId30" Type="http://schemas.openxmlformats.org/officeDocument/2006/relationships/hyperlink" Target="https://esipa.cz/sbirka/sbsrv.dll/sb?DR=SB&amp;CP=2016s257" TargetMode="External"/><Relationship Id="rId31" Type="http://schemas.openxmlformats.org/officeDocument/2006/relationships/hyperlink" Target="https://esipa.cz/sbirka/sbsrv.dll/sb?DR=SB&amp;CP=2023s462" TargetMode="External"/><Relationship Id="rId32" Type="http://schemas.openxmlformats.org/officeDocument/2006/relationships/hyperlink" Target="https://esipa.cz/sbirka/sbsrv.dll/sb?DR=SB&amp;CP=2023s462#C10_CL14" TargetMode="External"/><Relationship Id="rId33" Type="http://schemas.openxmlformats.org/officeDocument/2006/relationships/hyperlink" Target="https://esipa.cz/sbirka/sbsrv.dll/sb?DR=SB&amp;CP=2023s462#C2_CL3" TargetMode="External"/><Relationship Id="rId34" Type="http://schemas.openxmlformats.org/officeDocument/2006/relationships/hyperlink" Target="https://esipa.cz/sbirka/sbsrv.dll/sb?DR=SB&amp;CP=2023s462#C10_CL15" TargetMode="External"/><Relationship Id="rId35" Type="http://schemas.openxmlformats.org/officeDocument/2006/relationships/hyperlink" Target="https://esipa.cz/sbirka/sbsrv.dll/sb?DR=SB&amp;CP=2023s462#C4_CL5"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462/2023 Sb. z 1. 4. 2024</dc:title>
  <dc:description>Zákon o spotřebitelském úvěru</dc:description>
  <dc:subject/>
  <cp:keywords/>
  <cp:category/>
  <cp:lastModifiedBy/>
  <dcterms:created xsi:type="dcterms:W3CDTF">2024-04-01T00:00:00+02:00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