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včetně možnosti využití automatizovaných modelů, a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důkladně posoudí úvěruschopnost spotřebitele na základě informací nezbytných, spolehlivých, dostatečných a přiměřených k povaze, délce, výši a rizikovosti úvěru pro spotřebitele, získaných z relevantních vnitřních nebo vnějších zdrojů, včetně spotřebitele, a pokud je to nezbytné, z databáze umožňující posouzení úvěruschopnosti spotřebitele.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schopnost spotřebitele plnit povinnosti sjednané ve smlouvě, zejména splácet sjednané splátky spotřebitelského úvěru, a to na základě porovnání příjmů a výdajů a dalších údajů o finanční a ekonomické situaci spotřebitele, jako jsou údaje o jeho majetku a závazcích a o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 86 odst. 1 větou druhou, je smlouva neplatná. Soud k neplatnosti přihlédne i bez návrhu.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w:t>
      </w:r>
      <w:r>
        <w:rPr/>
        <w:t xml:space="preserve">§ 11</w:t>
      </w:r>
      <w:r>
        <w:rPr/>
        <w:t xml:space="preserve"> odst. 5, </w:t>
      </w:r>
      <w:r>
        <w:rPr/>
        <w:t xml:space="preserve">§ 12</w:t>
      </w:r>
      <w:r>
        <w:rPr/>
        <w:t xml:space="preserve"> odst. 3, </w:t>
      </w:r>
      <w:r>
        <w:rPr/>
        <w:t xml:space="preserve">§ 13</w:t>
      </w:r>
      <w:r>
        <w:rPr/>
        <w:t xml:space="preserve"> odst. 3, </w:t>
      </w:r>
      <w:r>
        <w:rPr/>
        <w:t xml:space="preserve">§ 14</w:t>
      </w:r>
      <w:r>
        <w:rPr/>
        <w:t xml:space="preserve"> odst. 3, </w:t>
      </w:r>
      <w:r>
        <w:rPr/>
        <w:t xml:space="preserve">§ 19</w:t>
      </w:r>
      <w:r>
        <w:rPr/>
        <w:t xml:space="preserve"> odst. 4, </w:t>
      </w:r>
      <w:r>
        <w:rPr/>
        <w:t xml:space="preserve">§ 20</w:t>
      </w:r>
      <w:r>
        <w:rPr/>
        <w:t xml:space="preserve"> odst. 3, </w:t>
      </w:r>
      <w:r>
        <w:rPr/>
        <w:t xml:space="preserve">§ 22</w:t>
      </w:r>
      <w:r>
        <w:rPr/>
        <w:t xml:space="preserve"> odst. 3, </w:t>
      </w:r>
      <w:r>
        <w:rPr/>
        <w:t xml:space="preserve">§ 30</w:t>
      </w:r>
      <w:r>
        <w:rPr/>
        <w:t xml:space="preserve"> odst. 4, </w:t>
      </w:r>
      <w:r>
        <w:rPr/>
        <w:t xml:space="preserve">§ 32</w:t>
      </w:r>
      <w:r>
        <w:rPr/>
        <w:t xml:space="preserve"> odst. 6, </w:t>
      </w:r>
      <w:r>
        <w:rPr/>
        <w:t xml:space="preserve">§ 33</w:t>
      </w:r>
      <w:r>
        <w:rPr/>
        <w:t xml:space="preserve"> odst. 4, </w:t>
      </w:r>
      <w:r>
        <w:rPr/>
        <w:t xml:space="preserve">§ 40</w:t>
      </w:r>
      <w:r>
        <w:rPr/>
        <w:t xml:space="preserve"> odst. 4, </w:t>
      </w:r>
      <w:r>
        <w:rPr/>
        <w:t xml:space="preserve">§ 42</w:t>
      </w:r>
      <w:r>
        <w:rPr/>
        <w:t xml:space="preserve"> odst. 5, </w:t>
      </w:r>
      <w:r>
        <w:rPr/>
        <w:t xml:space="preserve">§ 43</w:t>
      </w:r>
      <w:r>
        <w:rPr/>
        <w:t xml:space="preserve"> odst. 4, </w:t>
      </w:r>
      <w:r>
        <w:rPr/>
        <w:t xml:space="preserve">§ 59</w:t>
      </w:r>
      <w:r>
        <w:rPr/>
        <w:t xml:space="preserve"> odst. 5, </w:t>
      </w:r>
      <w:r>
        <w:rPr/>
        <w:t xml:space="preserve">§ 60</w:t>
      </w:r>
      <w:r>
        <w:rPr/>
        <w:t xml:space="preserve"> odst. 6, </w:t>
      </w:r>
      <w:r>
        <w:rPr/>
        <w:t xml:space="preserve">§ 63</w:t>
      </w:r>
      <w:r>
        <w:rPr/>
        <w:t xml:space="preserve"> odst. 3, </w:t>
      </w:r>
      <w:r>
        <w:rPr/>
        <w:t xml:space="preserve">§ 64</w:t>
      </w:r>
      <w:r>
        <w:rPr/>
        <w:t xml:space="preserve"> odst. 4, </w:t>
      </w:r>
      <w:r>
        <w:rPr/>
        <w:t xml:space="preserve">§ 65</w:t>
      </w:r>
      <w:r>
        <w:rPr/>
        <w:t xml:space="preserve"> odst. 4, </w:t>
      </w:r>
      <w:r>
        <w:rPr/>
        <w:t xml:space="preserve">§ 66</w:t>
      </w:r>
      <w:r>
        <w:rPr/>
        <w:t xml:space="preserve"> odst. 2, </w:t>
      </w:r>
      <w:r>
        <w:rPr/>
        <w:t xml:space="preserve">§ 68</w:t>
      </w:r>
      <w:r>
        <w:rPr/>
        <w:t xml:space="preserve"> odst. 4 a </w:t>
      </w:r>
      <w:r>
        <w:rPr/>
        <w:t xml:space="preserve">§ 69</w:t>
      </w:r>
      <w:r>
        <w:rPr/>
        <w:t xml:space="preserve"> odst. 5.</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w:t>
      </w:r>
      <w:hyperlink r:id="rId29" w:history="1">
        <w:r>
          <w:rPr>
            <w:color w:val="darkblue"/>
            <w:u w:val="single"/>
          </w:rPr>
          <w:t xml:space="preserve">186/2020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30" w:history="1">
        <w:r>
          <w:rPr>
            <w:color w:val="darkblue"/>
            <w:u w:val="single"/>
          </w:rPr>
          <w:t xml:space="preserve">257/2016 Sb.</w:t>
        </w:r>
      </w:hyperlink>
      <w:r>
        <w:rPr/>
        <w:t xml:space="preserve">, ve znění účinném ode dne nabytí účinnosti tohoto zákona, § 122 odst. 4 nebo 5 zákona č. </w:t>
      </w:r>
      <w:hyperlink r:id="rId30"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30"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30" w:history="1">
        <w:r>
          <w:rPr>
            <w:color w:val="darkblue"/>
            <w:u w:val="single"/>
          </w:rPr>
          <w:t xml:space="preserve">257/2016 Sb.</w:t>
        </w:r>
      </w:hyperlink>
      <w:r>
        <w:rPr/>
        <w:t xml:space="preserve">, ve znění účinném ode dne nabytí účinnosti tohoto zákona, považuje za úrok z prodlení.</w:t>
      </w:r>
    </w:p>
    <w:p>
      <w:pPr>
        <w:pStyle w:val="Heading1"/>
      </w:pPr>
      <w:r>
        <w:rPr>
          <w:b/>
          <w:bCs/>
        </w:rPr>
        <w:t xml:space="preserve">ČÁST JEDENÁCTÁ (ČI. XVI) zákona č. </w:t>
      </w:r>
      <w:hyperlink r:id="rId31" w:history="1">
        <w:r>
          <w:rPr>
            <w:color w:val="darkblue"/>
            <w:u w:val="single"/>
          </w:rPr>
          <w:t xml:space="preserve">462/2023 Sb.</w:t>
        </w:r>
      </w:hyperlink>
      <w:r>
        <w:rPr>
          <w:b/>
          <w:bCs/>
        </w:rPr>
        <w:t xml:space="preserve"> zní:</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w:t>
      </w:r>
      <w:hyperlink r:id="rId32" w:history="1">
        <w:r>
          <w:rPr>
            <w:color w:val="darkblue"/>
            <w:u w:val="single"/>
          </w:rPr>
          <w:t xml:space="preserve">čl. III</w:t>
        </w:r>
      </w:hyperlink>
      <w:r>
        <w:rPr/>
        <w:t xml:space="preserve"> bodů 1 a 2, části desáté </w:t>
      </w:r>
      <w:hyperlink r:id="rId33" w:history="1">
        <w:r>
          <w:rPr>
            <w:color w:val="darkblue"/>
            <w:u w:val="single"/>
          </w:rPr>
          <w:t xml:space="preserve">čl. XIV</w:t>
        </w:r>
      </w:hyperlink>
      <w:r>
        <w:rPr/>
        <w:t xml:space="preserve"> bodů 13 a 16 a </w:t>
      </w:r>
      <w:hyperlink r:id="rId34" w:history="1">
        <w:r>
          <w:rPr>
            <w:color w:val="darkblue"/>
            <w:u w:val="single"/>
          </w:rPr>
          <w:t xml:space="preserve">čl. XV</w:t>
        </w:r>
      </w:hyperlink>
      <w:r>
        <w:rPr/>
        <w:t xml:space="preserve"> bodu 1, která nabývají účinnosti prvním dnem čtvrtého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desáté </w:t>
      </w:r>
      <w:hyperlink r:id="rId33" w:history="1">
        <w:r>
          <w:rPr>
            <w:color w:val="darkblue"/>
            <w:u w:val="single"/>
          </w:rPr>
          <w:t xml:space="preserve">čl. XIV</w:t>
        </w:r>
      </w:hyperlink>
      <w:r>
        <w:rPr/>
        <w:t xml:space="preserve"> bodů 1, 2, 6 až 12, 14, 15 a 17 a </w:t>
      </w:r>
      <w:hyperlink r:id="rId34" w:history="1">
        <w:r>
          <w:rPr>
            <w:color w:val="darkblue"/>
            <w:u w:val="single"/>
          </w:rPr>
          <w:t xml:space="preserve">čl. XV</w:t>
        </w:r>
      </w:hyperlink>
      <w:r>
        <w:rPr/>
        <w:t xml:space="preserve"> bodu 2, která nabývají účinnosti prvním dnem devátého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části čtvrté </w:t>
      </w:r>
      <w:hyperlink r:id="rId35" w:history="1">
        <w:r>
          <w:rPr>
            <w:color w:val="darkblue"/>
            <w:u w:val="single"/>
          </w:rPr>
          <w:t xml:space="preserve">čl. V</w:t>
        </w:r>
      </w:hyperlink>
      <w:r>
        <w:rPr/>
        <w:t xml:space="preserve">, které nabývá účinnosti dnem 1. ledna 2025.</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462/2023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20s186" TargetMode="External"/><Relationship Id="rId30" Type="http://schemas.openxmlformats.org/officeDocument/2006/relationships/hyperlink" Target="https://esipa.cz/sbirka/sbsrv.dll/sb?DR=SB&amp;CP=2016s257" TargetMode="External"/><Relationship Id="rId31" Type="http://schemas.openxmlformats.org/officeDocument/2006/relationships/hyperlink" Target="https://esipa.cz/sbirka/sbsrv.dll/sb?DR=SB&amp;CP=2023s462" TargetMode="External"/><Relationship Id="rId32" Type="http://schemas.openxmlformats.org/officeDocument/2006/relationships/hyperlink" Target="https://esipa.cz/sbirka/sbsrv.dll/sb?DR=SB&amp;CP=2023s462#C2_CL3" TargetMode="External"/><Relationship Id="rId33" Type="http://schemas.openxmlformats.org/officeDocument/2006/relationships/hyperlink" Target="https://esipa.cz/sbirka/sbsrv.dll/sb?DR=SB&amp;CP=2023s462#C10_CL14" TargetMode="External"/><Relationship Id="rId34" Type="http://schemas.openxmlformats.org/officeDocument/2006/relationships/hyperlink" Target="https://esipa.cz/sbirka/sbsrv.dll/sb?DR=SB&amp;CP=2023s462#C10_CL15" TargetMode="External"/><Relationship Id="rId35" Type="http://schemas.openxmlformats.org/officeDocument/2006/relationships/hyperlink" Target="https://esipa.cz/sbirka/sbsrv.dll/sb?DR=SB&amp;CP=2023s462#C4_CL5"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462/2023 Sb. z 1. 1. 2024</dc:title>
  <dc:description>Zákon o spotřebitelském úvěru</dc:description>
  <dc:subject/>
  <cp:keywords/>
  <cp:category/>
  <cp:lastModifiedBy/>
  <dcterms:created xsi:type="dcterms:W3CDTF">2024-01-01T00:00:00+01:00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