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78</w:t>
      </w:r>
    </w:p>
    <w:p>
      <w:pPr>
        <w:jc w:val="center"/>
        <w:ind w:left="0" w:right="0"/>
        <w:spacing w:after="0"/>
      </w:pPr>
      <w:r>
        <w:rPr>
          <w:b/>
          <w:bCs/>
        </w:rPr>
        <w:t xml:space="preserve">VYHLÁŠKA</w:t>
      </w:r>
    </w:p>
    <w:p>
      <w:pPr>
        <w:jc w:val="center"/>
        <w:ind w:left="0" w:right="0"/>
        <w:spacing w:after="0"/>
      </w:pPr>
      <w:r>
        <w:rPr/>
        <w:t xml:space="preserve">ze dne 22. března 2013</w:t>
      </w:r>
    </w:p>
    <w:p>
      <w:pPr>
        <w:jc w:val="center"/>
        <w:ind w:left="0" w:right="0"/>
        <w:spacing w:after="0"/>
      </w:pPr>
      <w:r>
        <w:rPr>
          <w:b/>
          <w:bCs/>
        </w:rPr>
        <w:t xml:space="preserve">o energetické náročnosti budov</w:t>
      </w:r>
    </w:p>
    <w:p/>
    <w:p>
      <w:pPr>
        <w:jc w:val="left"/>
        <w:ind w:left="0" w:right="0"/>
        <w:spacing w:after="0"/>
      </w:pPr>
      <w:r>
        <w:rPr/>
        <w:t xml:space="preserve">Ministerstvo průmyslu a obchodu stanoví podle </w:t>
      </w:r>
      <w:hyperlink r:id="rId7" w:history="1">
        <w:r>
          <w:rPr>
            <w:color w:val="darkblue"/>
            <w:u w:val="single"/>
          </w:rPr>
          <w:t xml:space="preserve">§ 14</w:t>
        </w:r>
      </w:hyperlink>
      <w:r>
        <w:rPr/>
        <w:t xml:space="preserve"> odst. 4 zákona č. </w:t>
      </w:r>
      <w:hyperlink r:id="rId8" w:history="1">
        <w:r>
          <w:rPr>
            <w:color w:val="darkblue"/>
            <w:u w:val="single"/>
          </w:rPr>
          <w:t xml:space="preserve">406/2000 Sb.</w:t>
        </w:r>
      </w:hyperlink>
      <w:r>
        <w:rPr/>
        <w:t xml:space="preserve">, o hospodaření energií, ve znění zákona č. </w:t>
      </w:r>
      <w:hyperlink r:id="rId9" w:history="1">
        <w:r>
          <w:rPr>
            <w:color w:val="darkblue"/>
            <w:u w:val="single"/>
          </w:rPr>
          <w:t xml:space="preserve">165/2012 Sb.</w:t>
        </w:r>
      </w:hyperlink>
      <w:r>
        <w:rPr/>
        <w:t xml:space="preserve"> a zákona č. </w:t>
      </w:r>
      <w:hyperlink r:id="rId10" w:history="1">
        <w:r>
          <w:rPr>
            <w:color w:val="darkblue"/>
            <w:u w:val="single"/>
          </w:rPr>
          <w:t xml:space="preserve">318/2012 Sb.</w:t>
        </w:r>
      </w:hyperlink>
      <w:r>
        <w:rPr/>
        <w:t xml:space="preserve">, k provedení </w:t>
      </w:r>
      <w:hyperlink r:id="rId11" w:history="1">
        <w:r>
          <w:rPr>
            <w:color w:val="darkblue"/>
            <w:u w:val="single"/>
          </w:rPr>
          <w:t xml:space="preserve">§ 7</w:t>
        </w:r>
      </w:hyperlink>
      <w:r>
        <w:rPr/>
        <w:t xml:space="preserve"> odst. 8 a </w:t>
      </w:r>
      <w:hyperlink r:id="rId12" w:history="1">
        <w:r>
          <w:rPr>
            <w:color w:val="darkblue"/>
            <w:u w:val="single"/>
          </w:rPr>
          <w:t xml:space="preserve">§ 7a</w:t>
        </w:r>
      </w:hyperlink>
      <w:r>
        <w:rPr/>
        <w:t xml:space="preserve"> odst. 6 zákona:</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Tato vyhláška zapracovává příslušný předpis Evropské unie</w:t>
      </w:r>
      <w:r>
        <w:rPr>
          <w:vertAlign w:val="superscript"/>
        </w:rPr>
        <w:t xml:space="preserve">1</w:t>
      </w:r>
      <w:r>
        <w:rPr/>
        <w:t xml:space="preserve">)</w:t>
      </w:r>
      <w:r>
        <w:rPr/>
        <w:t xml:space="preserve">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nákladově optimální úroveň požadavků na energetickou náročnost budovy pro nové budovy, větší změny dokončených budov, jiné než větší změny dokončených budov a pro budovy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metodu výpočtu energetické náročnosti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vzor posouzení technické, ekonomické a ekologické proveditelnosti alternativních systémů dodávek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vzor stanovení doporučených opatření pro snížení energetické náročnosti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vzor a obsah průkazu a způsob jeho zpracování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umístění průkazu v budově.</w:t>
      </w:r>
    </w:p>
    <w:p>
      <w:pPr>
        <w:pStyle w:val="Heading1"/>
      </w:pPr>
      <w:r>
        <w:rPr>
          <w:b/>
          <w:bCs/>
        </w:rPr>
        <w:t xml:space="preserve">§ 2</w:t>
      </w:r>
      <w:r>
        <w:rPr>
          <w:rStyle w:val="hidden"/>
        </w:rPr>
        <w:t xml:space="preserve"> -</w:t>
      </w:r>
      <w:br/>
      <w:r>
        <w:rPr/>
        <w:t xml:space="preserve">Základní pojmy</w:t>
      </w:r>
    </w:p>
    <w:p>
      <w:pPr>
        <w:ind w:left="0" w:right="0"/>
      </w:pPr>
      <w:r>
        <w:rPr/>
        <w:t xml:space="preserve">Pro účely této vyhlášky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budovou výpočtově definovaná budova téhož druhu, stejného geometrického tvaru a velikosti včetně prosklených ploch a částí, stejné orientace ke světovým stranám, stínění okolní zástavbou a přírodními překážkami, stejného vnitřního uspořádání a se stejným typickým užíváním a stejnými uvažovanými klimatickými údaji jako hodnocená budova, avšak s referenčními hodnotami vlastností budovy, jejích konstrukcí a technických systémů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typickým užíváním budovy obvyklý způsob užívání budovy v souladu s podmínkami vnitřního a venkovního prostředí a provozu stanovený pro účely výpočtu energetické náročnosti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venkovním prostředím venkovní vzduch, vzduch v přilehlých nevytápěných prostorech, přilehlá zemina, sousední budova a jiná sousední zóna,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vnitřním prostředím prostředí uvnitř zóny, které je definováno návrhovými hodnotami teploty, relativní vlhkosti vzduchu a objemového toku výměny vzduchu, případně rychlostí proudění vnitřního vzduchu a požadované intenzity osvětlení uvnitř zóny,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přirozeným větráním větrání založené na principu teplotního a tlakového rozdílu vnitřního a venkovního vzduchu,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nuceným větráním větrání pomocí mechanického zařízení,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energonositelem hmota nebo jev, které mohou být použity k výrobě mechanické práce nebo tepla nebo na ovládání chemických nebo fyzikálních procesů,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vypočtenou spotřebou energie energie, která se stanoví z potřeby energie pro zajištění typického užívání budovy se zahrnutím účinností technických systémů, v případě spotřeby paliv je spotřeba energie vztažena k výhřevnosti paliva,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pomocnou energií energie potřebná pro provoz technických systémů,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primární energií energie, která neprošla žádným procesem přeměny; celková primární energie je součtem obnovitelné a neobnovitelné primární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faktorem primární energie koeficient, kterým se násobí složky dodané energie po jednotlivých energonositelích k získání odpovídajícího množství celkové primární energie,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faktorem neobnovitelné primární energie koeficient, kterým se násobí složky dodané energie po jednotlivých energonositelích k získání odpovídajícího množství neobnovitelné primární energie.</w:t>
      </w:r>
    </w:p>
    <w:p>
      <w:pPr>
        <w:pStyle w:val="Heading1"/>
      </w:pPr>
      <w:r>
        <w:rPr>
          <w:b/>
          <w:bCs/>
        </w:rPr>
        <w:t xml:space="preserve">§ 3</w:t>
      </w:r>
      <w:r>
        <w:rPr>
          <w:rStyle w:val="hidden"/>
        </w:rPr>
        <w:t xml:space="preserve"> -</w:t>
      </w:r>
      <w:br/>
      <w:r>
        <w:rPr/>
        <w:t xml:space="preserve">Ukazatele energetické náročnosti budovy a jejich stanovení</w:t>
      </w:r>
    </w:p>
    <w:p>
      <w:pPr>
        <w:ind w:left="0" w:right="0"/>
      </w:pPr>
      <w:r>
        <w:rPr>
          <w:b/>
          <w:bCs/>
        </w:rPr>
        <w:t xml:space="preserve">(1)</w:t>
      </w:r>
      <w:r>
        <w:rPr/>
        <w:t xml:space="preserve"> Ukazatele energetické náročnosti budovy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celková primární energie za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neobnovitelná primární energie za rok,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celková dodaná energie za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dílčí dodané energie pro technické systémy vytápění, chlazení, větrání, úpravu vlhkosti vzduchu, přípravu teplé vody a osvětlení za rok,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průměrný součinitel prostupu tepla,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součinitele prostupu tepla jednotlivých konstrukcí na systémové hranici,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účinnost technických systémů.</w:t>
      </w:r>
    </w:p>
    <w:p>
      <w:pPr>
        <w:ind w:left="0" w:right="0"/>
      </w:pPr>
      <w:r>
        <w:rPr>
          <w:b/>
          <w:bCs/>
        </w:rPr>
        <w:t xml:space="preserve">(2)</w:t>
      </w:r>
      <w:r>
        <w:rPr/>
        <w:t xml:space="preserve"> Hodnoty ukazatelů energetické náročnosti hodnocené budovy a referenční budovy se stanovují výpočtem na základě dokumentace. V případě dokončených budov musí být vstupní údaje pro výpočet v souladu se současným stavem budovy.</w:t>
      </w:r>
    </w:p>
    <w:p>
      <w:pPr>
        <w:ind w:left="0" w:right="0"/>
      </w:pPr>
      <w:r>
        <w:rPr>
          <w:b/>
          <w:bCs/>
        </w:rPr>
        <w:t xml:space="preserve">(3)</w:t>
      </w:r>
      <w:r>
        <w:rPr/>
        <w:t xml:space="preserve"> Pro výpočet hodnot ukazatelů energetické náročnosti referenční budovy se použijí hodnoty parametrů budovy, stavebních prvků a konstrukcí a technických systémů budovy uvedené v příloze č. 1 k této vyhlášce a parametry typického užívání budovy.</w:t>
      </w:r>
    </w:p>
    <w:p>
      <w:pPr>
        <w:ind w:left="0" w:right="0"/>
      </w:pPr>
      <w:r>
        <w:rPr>
          <w:b/>
          <w:bCs/>
        </w:rPr>
        <w:t xml:space="preserve">(4)</w:t>
      </w:r>
      <w:r>
        <w:rPr/>
        <w:t xml:space="preserve"> Výpočet celkové dodané energie a dílčích dodaných energií pro technické systémy vytápění, chlazení, větrání, úpravu vlhkosti vzduchu, přípravu teplé vody a osvětlení se provede postupem podle </w:t>
      </w:r>
      <w:r>
        <w:rPr/>
        <w:t xml:space="preserve">§ 4</w:t>
      </w:r>
      <w:r>
        <w:rPr/>
        <w:t xml:space="preserve">.</w:t>
      </w:r>
    </w:p>
    <w:p>
      <w:pPr>
        <w:ind w:left="0" w:right="0"/>
      </w:pPr>
      <w:r>
        <w:rPr>
          <w:b/>
          <w:bCs/>
        </w:rPr>
        <w:t xml:space="preserve">(5)</w:t>
      </w:r>
      <w:r>
        <w:rPr/>
        <w:t xml:space="preserve"> Výpočet celkové primární energie a neobnovitelné primární energie se provede postupem podle </w:t>
      </w:r>
      <w:r>
        <w:rPr/>
        <w:t xml:space="preserve">§ 5</w:t>
      </w:r>
      <w:r>
        <w:rPr/>
        <w:t xml:space="preserve">.</w:t>
      </w:r>
    </w:p>
    <w:p>
      <w:pPr>
        <w:ind w:left="0" w:right="0"/>
      </w:pPr>
      <w:r>
        <w:rPr>
          <w:b/>
          <w:bCs/>
        </w:rPr>
        <w:t xml:space="preserve">(6)</w:t>
      </w:r>
      <w:r>
        <w:rPr/>
        <w:t xml:space="preserve"> Výpočet průměrného součinitele prostupu tepla a součinitelů prostupu tepla jednotlivých konstrukcí na systémové hranici se provede podle české technické normy pro výpočtové metody tepelné ochrany budov</w:t>
      </w:r>
      <w:r>
        <w:rPr>
          <w:vertAlign w:val="superscript"/>
        </w:rPr>
        <w:t xml:space="preserve">2</w:t>
      </w:r>
      <w:r>
        <w:rPr/>
        <w:t xml:space="preserve">)</w:t>
      </w:r>
      <w:r>
        <w:rPr/>
        <w:t xml:space="preserve">.</w:t>
      </w:r>
    </w:p>
    <w:p>
      <w:pPr>
        <w:ind w:left="0" w:right="0"/>
      </w:pPr>
      <w:r>
        <w:rPr>
          <w:b/>
          <w:bCs/>
        </w:rPr>
        <w:t xml:space="preserve">(7)</w:t>
      </w:r>
      <w:r>
        <w:rPr/>
        <w:t xml:space="preserve"> Výpočet účinnosti technických systémů vytápění, chlazení, větrání, úpravy vlhkosti vzduchu, přípravy teplé vody a osvětlení se provede podle příslušných českých technických norem.</w:t>
      </w:r>
    </w:p>
    <w:p>
      <w:pPr>
        <w:pStyle w:val="Heading1"/>
      </w:pPr>
      <w:r>
        <w:rPr>
          <w:b/>
          <w:bCs/>
        </w:rPr>
        <w:t xml:space="preserve">§ 4</w:t>
      </w:r>
      <w:r>
        <w:rPr>
          <w:rStyle w:val="hidden"/>
        </w:rPr>
        <w:t xml:space="preserve"> -</w:t>
      </w:r>
      <w:br/>
      <w:r>
        <w:rPr/>
        <w:t xml:space="preserve">Výpočet dodané energie</w:t>
      </w:r>
    </w:p>
    <w:p>
      <w:pPr>
        <w:ind w:left="0" w:right="0"/>
      </w:pPr>
      <w:r>
        <w:rPr>
          <w:b/>
          <w:bCs/>
        </w:rPr>
        <w:t xml:space="preserve">(1)</w:t>
      </w:r>
      <w:r>
        <w:rPr/>
        <w:t xml:space="preserve"> Dodaná energie je součtem vypočtené spotřeby energie a pomocné energie. Výpočet celkové dodané energie a dílčích dodaných energií se provede výpočtovou metodou s intervalem výpočtu nejvýše jednoho měsíce a po jednotlivých zónách.</w:t>
      </w:r>
    </w:p>
    <w:p>
      <w:pPr>
        <w:ind w:left="0" w:right="0"/>
      </w:pPr>
      <w:r>
        <w:rPr>
          <w:b/>
          <w:bCs/>
        </w:rPr>
        <w:t xml:space="preserve">(2)</w:t>
      </w:r>
      <w:r>
        <w:rPr/>
        <w:t xml:space="preserve"> Celková dodaná energie do budovy se stanoví součtem dílčích dodaných energií a vyjádří se také po jednotlivých energonositelích.</w:t>
      </w:r>
    </w:p>
    <w:p>
      <w:pPr>
        <w:ind w:left="0" w:right="0"/>
      </w:pPr>
      <w:r>
        <w:rPr>
          <w:b/>
          <w:bCs/>
        </w:rPr>
        <w:t xml:space="preserve">(3)</w:t>
      </w:r>
      <w:r>
        <w:rPr/>
        <w:t xml:space="preserve"> Dílčí dodaná energie na vytápění se stanoví jako součet vypočtené spotřeby energie na vytápění a pomocné energie na provoz technického systému pro vytápění podle české technické normy pro výpočet potřeby energie pro vytápění a chlazení</w:t>
      </w:r>
      <w:r>
        <w:rPr>
          <w:vertAlign w:val="superscript"/>
        </w:rPr>
        <w:t xml:space="preserve">3</w:t>
      </w:r>
      <w:r>
        <w:rPr/>
        <w:t xml:space="preserve">)</w:t>
      </w:r>
      <w:r>
        <w:rPr/>
        <w:t xml:space="preserve"> a české technické normy pro tepelné soustavy v budovách</w:t>
      </w:r>
      <w:r>
        <w:rPr>
          <w:vertAlign w:val="superscript"/>
        </w:rPr>
        <w:t xml:space="preserve">4</w:t>
      </w:r>
      <w:r>
        <w:rPr/>
        <w:t xml:space="preserve">)</w:t>
      </w:r>
      <w:r>
        <w:rPr/>
        <w:t xml:space="preserve"> s využitím hodnot typického užívání budov.</w:t>
      </w:r>
    </w:p>
    <w:p>
      <w:pPr>
        <w:ind w:left="0" w:right="0"/>
      </w:pPr>
      <w:r>
        <w:rPr>
          <w:b/>
          <w:bCs/>
        </w:rPr>
        <w:t xml:space="preserve">(4)</w:t>
      </w:r>
      <w:r>
        <w:rPr/>
        <w:t xml:space="preserve"> Dílčí dodaná energie na chlazení se stanoví jako součet vypočtené spotřeby energie na chlazení a pomocné energie na provoz technického systému pro chlazení podle české technické normy pro výpočet potřeby energie pro vytápění a chlazení</w:t>
      </w:r>
      <w:r>
        <w:rPr>
          <w:vertAlign w:val="superscript"/>
        </w:rPr>
        <w:t xml:space="preserve">3</w:t>
      </w:r>
      <w:r>
        <w:rPr/>
        <w:t xml:space="preserve">) s využitím hodnot typického užívání budov.</w:t>
      </w:r>
    </w:p>
    <w:p>
      <w:pPr>
        <w:ind w:left="0" w:right="0"/>
      </w:pPr>
      <w:r>
        <w:rPr>
          <w:b/>
          <w:bCs/>
        </w:rPr>
        <w:t xml:space="preserve">(5)</w:t>
      </w:r>
      <w:r>
        <w:rPr/>
        <w:t xml:space="preserve"> Dílčí dodaná energie na větrání se stanoví jako součet vypočtené spotřeby energie na dopravu vzduchu potřebného pro zajištění požadované výměny vzduchu ve vnitřním prostředí a pomocné energie na provoz technického systému pro nucené větrání podle české technické normy pro větrání budov</w:t>
      </w:r>
      <w:r>
        <w:rPr>
          <w:vertAlign w:val="superscript"/>
        </w:rPr>
        <w:t xml:space="preserve">5</w:t>
      </w:r>
      <w:r>
        <w:rPr/>
        <w:t xml:space="preserve">)</w:t>
      </w:r>
      <w:r>
        <w:rPr/>
        <w:t xml:space="preserve"> s využitím hodnot typického užívání budov.</w:t>
      </w:r>
    </w:p>
    <w:p>
      <w:pPr>
        <w:ind w:left="0" w:right="0"/>
      </w:pPr>
      <w:r>
        <w:rPr>
          <w:b/>
          <w:bCs/>
        </w:rPr>
        <w:t xml:space="preserve">(6)</w:t>
      </w:r>
      <w:r>
        <w:rPr/>
        <w:t xml:space="preserve"> Dílčí dodaná energie na úpravu vlhkosti vzduchu se stanoví jako součet vypočtené spotřeby energie na úpravu vlhkosti vzduchu a pomocné energie na provoz technického systému pro úpravu vlhkosti vzduchu podle české technické normy pro větrání budov</w:t>
      </w:r>
      <w:r>
        <w:rPr>
          <w:vertAlign w:val="superscript"/>
        </w:rPr>
        <w:t xml:space="preserve">5</w:t>
      </w:r>
      <w:r>
        <w:rPr/>
        <w:t xml:space="preserve">) s využitím hodnot typického užívání budov.</w:t>
      </w:r>
    </w:p>
    <w:p>
      <w:pPr>
        <w:ind w:left="0" w:right="0"/>
      </w:pPr>
      <w:r>
        <w:rPr>
          <w:b/>
          <w:bCs/>
        </w:rPr>
        <w:t xml:space="preserve">(7)</w:t>
      </w:r>
      <w:r>
        <w:rPr/>
        <w:t xml:space="preserve"> Dílčí dodaná energie na přípravu teplé vody se stanoví jako součet vypočtené spotřeby energie na přípravu teplé vody a pomocné energie na provoz technického systému pro přípravu teplé vody podle české technické normy pro tepelné soustavy v budovách upravující účinnost soustav pro přípravu teplé vody</w:t>
      </w:r>
      <w:r>
        <w:rPr>
          <w:vertAlign w:val="superscript"/>
        </w:rPr>
        <w:t xml:space="preserve">6</w:t>
      </w:r>
      <w:r>
        <w:rPr/>
        <w:t xml:space="preserve">)</w:t>
      </w:r>
      <w:r>
        <w:rPr/>
        <w:t xml:space="preserve"> s využitím hodnot typického užívání budov.</w:t>
      </w:r>
    </w:p>
    <w:p>
      <w:pPr>
        <w:ind w:left="0" w:right="0"/>
      </w:pPr>
      <w:r>
        <w:rPr>
          <w:b/>
          <w:bCs/>
        </w:rPr>
        <w:t xml:space="preserve">(8)</w:t>
      </w:r>
      <w:r>
        <w:rPr/>
        <w:t xml:space="preserve"> Dílčí dodaná energie na osvětlení se stanoví jako součet vypočtené spotřeby energie na osvětlení a pomocné energie na provoz technického systému pro osvětlení podle české technické normy pro energetické hodnocení budov upravující energetické požadavky na osvětlení</w:t>
      </w:r>
      <w:r>
        <w:rPr>
          <w:vertAlign w:val="superscript"/>
        </w:rPr>
        <w:t xml:space="preserve">7</w:t>
      </w:r>
      <w:r>
        <w:rPr/>
        <w:t xml:space="preserve">)</w:t>
      </w:r>
      <w:r>
        <w:rPr/>
        <w:t xml:space="preserve"> s využitím hodnot typického užívání budov. Pro zóny, kde o energetické náročnosti osvětlení rozhoduje uživatel, se použijí hodnoty platné pro referenční budovu.</w:t>
      </w:r>
    </w:p>
    <w:p>
      <w:pPr>
        <w:ind w:left="0" w:right="0"/>
      </w:pPr>
      <w:r>
        <w:rPr>
          <w:b/>
          <w:bCs/>
        </w:rPr>
        <w:t xml:space="preserve">(9)</w:t>
      </w:r>
      <w:r>
        <w:rPr/>
        <w:t xml:space="preserve"> Při výpočtu dodané energie platí dále tato pravidla: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dodané energie se nezapočítává ta část, která slouží k výrobě elektřiny nebo tepla, které jsou dodávány mimo budovu,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součástí dodané energie je i v budově v technických systémech umístěných podle </w:t>
      </w:r>
      <w:r>
        <w:rPr/>
        <w:t xml:space="preserve">§ 5</w:t>
      </w:r>
      <w:r>
        <w:rPr/>
        <w:t xml:space="preserve"> odst. 2 písm. a) vyrobená a využitá energie slunečního záření, energie větru a geotermální energie s výjimkou tepelných čerpadel,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součástí dodané energie při využití tepelného čerpadla je i energie okolního prostředí. Ta se vypočte jako rozdíl potřeby energie, kterou tepelné čerpadlo dodává, a vypočtené spotřeby energie tepelného čerpadla.</w:t>
      </w:r>
    </w:p>
    <w:p>
      <w:pPr>
        <w:pStyle w:val="Heading1"/>
      </w:pPr>
      <w:r>
        <w:rPr>
          <w:b/>
          <w:bCs/>
        </w:rPr>
        <w:t xml:space="preserve">§ 5</w:t>
      </w:r>
      <w:r>
        <w:rPr>
          <w:rStyle w:val="hidden"/>
        </w:rPr>
        <w:t xml:space="preserve"> -</w:t>
      </w:r>
      <w:br/>
      <w:r>
        <w:rPr/>
        <w:t xml:space="preserve">Výpočet primární energie</w:t>
      </w:r>
    </w:p>
    <w:p>
      <w:pPr>
        <w:ind w:left="0" w:right="0"/>
      </w:pPr>
      <w:r>
        <w:rPr>
          <w:b/>
          <w:bCs/>
        </w:rPr>
        <w:t xml:space="preserve">(1)</w:t>
      </w:r>
      <w:r>
        <w:rPr/>
        <w:t xml:space="preserve"> Celková primární energie a neobnovitelná primární energie pro hodnocenou budovu se vypočítají jako součet součinů dodané energie, v rozdělení po jednotlivých energonositelích, stanovené podle </w:t>
      </w:r>
      <w:r>
        <w:rPr/>
        <w:t xml:space="preserve">§ 4</w:t>
      </w:r>
      <w:r>
        <w:rPr/>
        <w:t xml:space="preserve"> a příslušných faktorů primární energie uvedených v příloze č. 3 k této vyhlášce. V případě dodávky vyrobené energie mimo budovu se stejným postupem do celkové primární energie a neobnovitelné primární energie zahrne i energie dodaná mimo budovu a energie, která slouží k její výrobě.</w:t>
      </w:r>
    </w:p>
    <w:p>
      <w:pPr>
        <w:ind w:left="0" w:right="0"/>
      </w:pPr>
      <w:r>
        <w:rPr>
          <w:b/>
          <w:bCs/>
        </w:rPr>
        <w:t xml:space="preserve">(2)</w:t>
      </w:r>
      <w:r>
        <w:rPr/>
        <w:t xml:space="preserve"> Pro účely stanovení celkové primární energie a neobnovitelné primární energie pro hodnocenou budovu podle odstavce 1 se započitatelnost výroby energie omezuje následujícím způsobem: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technické systémy vyrábějící energii pro její užití v budově nebo pro její dodávku mimo budovu musí být umístěny uvnitř systémové hranice v hodnocené budově, na hodnocené budově, nejdále však na pomocných objektech sloužících hodnocené budově, kterými jsou zejména přístřešky pro parkování, oplocení, opěrné stěny, zpevněné plochy nebo na bezprostředně k budově přiléhajících pozemcích,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vyrobená energie z technických systémů umístěných podle písmene a) se pro hodnocenou budovu započte do primární energie pouze tehdy, pokud již nebyla započtena ve prospěch jiných budov,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jsou technické systémy umístěné podle písmene a) použity výlučně pro hodnocenou budovu, započte se do primární energie pouze jejich využitá výroba energie v každém měsíci, nejvýše však do výše příslušných dílčích dodaných energií hodnocené budovy stanovených výpočtem podle </w:t>
      </w:r>
      <w:r>
        <w:rPr/>
        <w:t xml:space="preserve">§ 4</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pokud jsou technické systémy vyrábějící energii umístěné podle písmene a) napojeny na elektrizační soustavu nebo soustavu zásobování tepelnou energií, započte se do primární energie celá jejich využitá výroba energie v každém měsíci, nejvýše však na úrovni dvojnásobku celkové dodané energie hodnocené budovy stanovené výpočtem podle </w:t>
      </w:r>
      <w:r>
        <w:rPr/>
        <w:t xml:space="preserve">§ 4</w:t>
      </w:r>
      <w:r>
        <w:rPr/>
        <w:t xml:space="preserve">.</w:t>
      </w:r>
    </w:p>
    <w:p>
      <w:pPr>
        <w:ind w:left="0" w:right="0"/>
      </w:pPr>
      <w:r>
        <w:rPr>
          <w:b/>
          <w:bCs/>
        </w:rPr>
        <w:t xml:space="preserve">(3)</w:t>
      </w:r>
      <w:r>
        <w:rPr/>
        <w:t xml:space="preserve"> Neobnovitelná primární energie pro referenční budovu se vypočítá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vynásobením vypočtených spotřeb energie a pomocných energií pro jednotlivé technické systémy faktory neobnovitelné primární energie podle typů spotřeb uvedenými v tabulce č. 4 přílohy č. 1 k této vyhlášce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1. lednu 2015 snížením hodnoty neobnovitelné primární energie stanovené podle písmene a) o hodnotu uvedenou v tabulce č. 5 přílohy č. 1 k této vyhlášce.</w:t>
      </w:r>
    </w:p>
    <w:p>
      <w:pPr>
        <w:pStyle w:val="Heading1"/>
      </w:pPr>
      <w:r>
        <w:rPr>
          <w:b/>
          <w:bCs/>
        </w:rPr>
        <w:t xml:space="preserve">§ 6</w:t>
      </w:r>
      <w:r>
        <w:rPr>
          <w:rStyle w:val="hidden"/>
        </w:rPr>
        <w:t xml:space="preserve"> -</w:t>
      </w:r>
      <w:br/>
      <w:r>
        <w:rPr/>
        <w:t xml:space="preserve">Požadavky na energetickou náročnost budovy stanovené na nákladově optimální úrovni</w:t>
      </w:r>
    </w:p>
    <w:p>
      <w:pPr>
        <w:ind w:left="0" w:right="0"/>
      </w:pPr>
      <w:r>
        <w:rPr>
          <w:b/>
          <w:bCs/>
        </w:rPr>
        <w:t xml:space="preserve">(1)</w:t>
      </w:r>
      <w:r>
        <w:rPr/>
        <w:t xml:space="preserve"> Požadavky na energetickou náročnost nové budovy a budovy s téměř nulovou spotřebou energie, stanovené výpočtem na nákladově optimální úrovni, jsou splněny, pokud hodnoty ukazatelů energetické náročnosti hodnocené budovy uvedené v </w:t>
      </w:r>
      <w:r>
        <w:rPr/>
        <w:t xml:space="preserve">§ 3</w:t>
      </w:r>
      <w:r>
        <w:rPr/>
        <w:t xml:space="preserve"> odst. 1 písm. b), c) a e) nejsou vyšší než referenční hodnoty ukazatelů energetické náročnosti pro referenční budovu.</w:t>
      </w:r>
    </w:p>
    <w:p>
      <w:pPr>
        <w:ind w:left="0" w:right="0"/>
      </w:pPr>
      <w:r>
        <w:rPr>
          <w:b/>
          <w:bCs/>
        </w:rPr>
        <w:t xml:space="preserve">(2)</w:t>
      </w:r>
      <w:r>
        <w:rPr/>
        <w:t xml:space="preserve"> Požadavky na energetickou náročnost při větší změně dokončené budovy a při jiné než větší změně dokončené budovy, stanovené výpočtem na nákladově optimální úrovni, jsou splněny,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hodnoty ukazatelů energetické náročnosti hodnocené budovy uvedených v </w:t>
      </w:r>
      <w:r>
        <w:rPr/>
        <w:t xml:space="preserve">§ 3</w:t>
      </w:r>
      <w:r>
        <w:rPr/>
        <w:t xml:space="preserve"> odst. 1 písm. b) a e) nejsou vyšší než referenční hodnoty těchto ukazatelů energetické náročnosti pro referenční budovu,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ukazatelů energetické náročnosti hodnocené budovy uvedených v </w:t>
      </w:r>
      <w:r>
        <w:rPr/>
        <w:t xml:space="preserve">§ 3</w:t>
      </w:r>
      <w:r>
        <w:rPr/>
        <w:t xml:space="preserve"> odst. 1 písm. c) a e) nejsou vyšší než referenční hodnoty těchto ukazatelů energetické náročnosti pro referenční budovu,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hodnota ukazatele energetické náročnosti hodnocené budovy pro všechny měněné stavební prvky obálky budovy uvedeného v </w:t>
      </w:r>
      <w:r>
        <w:rPr/>
        <w:t xml:space="preserve">§ 3</w:t>
      </w:r>
      <w:r>
        <w:rPr/>
        <w:t xml:space="preserve"> odst. 1 písm. f) není vyšší než referenční hodnota tohoto ukazatele energetické náročnosti uvedená v tabulce č. 2 přílohy č. 1 k této vyhlášce a současně hodnota ukazatele energetické náročnosti hodnocené budovy pro všechny měněné technické systémy uvedeného v </w:t>
      </w:r>
      <w:r>
        <w:rPr/>
        <w:t xml:space="preserve">§ 3</w:t>
      </w:r>
      <w:r>
        <w:rPr/>
        <w:t xml:space="preserve"> odst. 1 písm. g) není nižší než referenční hodnota tohoto ukazatele energetické náročnosti uvedená v tabulce č. 3 přílohy č. 1 k této vyhlášce.</w:t>
      </w:r>
    </w:p>
    <w:p>
      <w:pPr>
        <w:ind w:left="0" w:right="0"/>
      </w:pPr>
      <w:r>
        <w:rPr>
          <w:b/>
          <w:bCs/>
        </w:rPr>
        <w:t xml:space="preserve">(3)</w:t>
      </w:r>
      <w:r>
        <w:rPr/>
        <w:t xml:space="preserve"> Přístavba a nástavba navyšující původní energeticky vztažnou plochu o více než 25 % se považuje při stanovení referenčních hodnot ukazatelů energetické náročnosti budovy za novou budovu.</w:t>
      </w:r>
    </w:p>
    <w:p>
      <w:pPr>
        <w:pStyle w:val="Heading1"/>
      </w:pPr>
      <w:r>
        <w:rPr>
          <w:b/>
          <w:bCs/>
        </w:rPr>
        <w:t xml:space="preserve">§ 7</w:t>
      </w:r>
      <w:r>
        <w:rPr>
          <w:rStyle w:val="hidden"/>
        </w:rPr>
        <w:t xml:space="preserve"> -</w:t>
      </w:r>
      <w:br/>
      <w:r>
        <w:rPr/>
        <w:t xml:space="preserve">Posouzení technické, ekonomické a ekologické proveditelnosti alternativních systémů dodávek energie</w:t>
      </w:r>
    </w:p>
    <w:p>
      <w:pPr>
        <w:ind w:left="0" w:right="0"/>
      </w:pPr>
      <w:r>
        <w:rPr>
          <w:b/>
          <w:bCs/>
        </w:rPr>
        <w:t xml:space="preserve">(1)</w:t>
      </w:r>
      <w:r>
        <w:rPr/>
        <w:t xml:space="preserve"> Alternativní systém dodávek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místní systém dodávky energie využívající energii z obnovitelných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kombinovaná výroba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soustava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tepelné čerpadlo.</w:t>
      </w:r>
    </w:p>
    <w:p>
      <w:pPr>
        <w:ind w:left="0" w:right="0"/>
      </w:pPr>
      <w:r>
        <w:rPr>
          <w:b/>
          <w:bCs/>
        </w:rPr>
        <w:t xml:space="preserve">(2)</w:t>
      </w:r>
      <w:r>
        <w:rPr/>
        <w:t xml:space="preserve"> Technickou proveditelností se rozumí technická možnost instalace nebo připojení alternativního systému dodávky energie.</w:t>
      </w:r>
    </w:p>
    <w:p>
      <w:pPr>
        <w:ind w:left="0" w:right="0"/>
      </w:pPr>
      <w:r>
        <w:rPr>
          <w:b/>
          <w:bCs/>
        </w:rPr>
        <w:t xml:space="preserve">(3)</w:t>
      </w:r>
      <w:r>
        <w:rPr/>
        <w:t xml:space="preserve"> Ekonomickou proveditelností se rozumí dosažení prosté doby návratnosti investice do alternativního systému dodávek energie kratší než doba jeho životnosti</w:t>
      </w:r>
      <w:r>
        <w:rPr>
          <w:vertAlign w:val="superscript"/>
        </w:rPr>
        <w:t xml:space="preserve">8</w:t>
      </w:r>
      <w:r>
        <w:rPr/>
        <w:t xml:space="preserve">)</w:t>
      </w:r>
      <w:r>
        <w:rPr/>
        <w:t xml:space="preserve">. V případě alternativního systému dodávek energie podle odstavce 1 písm. c) se ekonomickou proveditelností uvedeného alternativního systému rozumí dosažení prosté doby návratnosti investice do nového jiného než alternativního systému dodávek energie, který je nebo má být v budově využíván, delší, než je doba životnosti tohoto nového jiného než alternativního systému dodávek energie.</w:t>
      </w:r>
    </w:p>
    <w:p>
      <w:pPr>
        <w:ind w:left="0" w:right="0"/>
      </w:pPr>
      <w:r>
        <w:rPr>
          <w:b/>
          <w:bCs/>
        </w:rPr>
        <w:t xml:space="preserve">(4)</w:t>
      </w:r>
      <w:r>
        <w:rPr/>
        <w:t xml:space="preserve"> Ekologickou proveditelností se rozumí instalace nebo připojení alternativního systému dodávky energie bez zvýšení množství neobnovitelné primární energie oproti stávajícímu nebo navrhovanému stavu.</w:t>
      </w:r>
    </w:p>
    <w:p>
      <w:pPr>
        <w:ind w:left="0" w:right="0"/>
      </w:pPr>
      <w:r>
        <w:rPr>
          <w:b/>
          <w:bCs/>
        </w:rPr>
        <w:t xml:space="preserve">(5)</w:t>
      </w:r>
      <w:r>
        <w:rPr/>
        <w:t xml:space="preserve"> Posouzení technické, ekonomické a ekologické proveditelnosti alternativních systémů dodávek energie je součástí protokolu průkazu, jehož vzor je uveden v příloze č. 4 k této vyhlášce.</w:t>
      </w:r>
    </w:p>
    <w:p>
      <w:pPr>
        <w:pStyle w:val="Heading1"/>
      </w:pPr>
      <w:r>
        <w:rPr>
          <w:b/>
          <w:bCs/>
        </w:rPr>
        <w:t xml:space="preserve">§ 8</w:t>
      </w:r>
      <w:r>
        <w:rPr>
          <w:rStyle w:val="hidden"/>
        </w:rPr>
        <w:t xml:space="preserve"> -</w:t>
      </w:r>
      <w:br/>
      <w:r>
        <w:rPr/>
        <w:t xml:space="preserve">Vzor stanovení doporučených opatření pro snížení energetické náročnosti budovy</w:t>
      </w:r>
    </w:p>
    <w:p>
      <w:pPr>
        <w:ind w:left="0" w:right="0"/>
      </w:pPr>
      <w:r>
        <w:rPr>
          <w:b/>
          <w:bCs/>
        </w:rPr>
        <w:t xml:space="preserve">(1)</w:t>
      </w:r>
      <w:r>
        <w:rPr/>
        <w:t xml:space="preserve"> V případě větší změny dokončené budovy je součástí průkazu také stanovení doporučených technicky, funkčně a ekonomicky vhodných opatření pro snížení energetické náročnosti hodnocené budovy mimo opatření již zahrnutých do větší změny dokončené budovy, jehož vzor je uveden v příloze č. 4 k této vyhlášce.</w:t>
      </w:r>
    </w:p>
    <w:p>
      <w:pPr>
        <w:ind w:left="0" w:right="0"/>
      </w:pPr>
      <w:r>
        <w:rPr>
          <w:b/>
          <w:bCs/>
        </w:rPr>
        <w:t xml:space="preserve">(2)</w:t>
      </w:r>
      <w:r>
        <w:rPr/>
        <w:t xml:space="preserve"> Technická vhodnost doporučeného opatření pro snížení energetické náročnosti budovy se dokládá technickou možností jeho instalace, funkční vhodnost se dokládá jeho účelem a vlivem na jiné základní funkce stavby a na sousední stavby, ekonomická vhodnost se dokládá dosažením prosté doby návratnosti kratší než doba životnosti doporučeného opatření.</w:t>
      </w:r>
    </w:p>
    <w:p>
      <w:pPr>
        <w:ind w:left="0" w:right="0"/>
      </w:pPr>
      <w:r>
        <w:rPr>
          <w:b/>
          <w:bCs/>
        </w:rPr>
        <w:t xml:space="preserve">(3)</w:t>
      </w:r>
      <w:r>
        <w:rPr/>
        <w:t xml:space="preserve"> Účinek doporučených opatření pro snížení energetické náročnosti budovy se vyhodnocuje minimálně na základě úspory celkové dodané energie a neobnovitelné primární energie.</w:t>
      </w:r>
    </w:p>
    <w:p>
      <w:pPr>
        <w:pStyle w:val="Heading1"/>
      </w:pPr>
      <w:r>
        <w:rPr>
          <w:b/>
          <w:bCs/>
        </w:rPr>
        <w:t xml:space="preserve">§ 9</w:t>
      </w:r>
      <w:r>
        <w:rPr>
          <w:rStyle w:val="hidden"/>
        </w:rPr>
        <w:t xml:space="preserve"> -</w:t>
      </w:r>
      <w:br/>
      <w:r>
        <w:rPr/>
        <w:t xml:space="preserve">Vzor a obsah průkazu</w:t>
      </w:r>
    </w:p>
    <w:p>
      <w:pPr>
        <w:ind w:left="0" w:right="0"/>
      </w:pPr>
      <w:r>
        <w:rPr>
          <w:b/>
          <w:bCs/>
        </w:rPr>
        <w:t xml:space="preserve">(1)</w:t>
      </w:r>
      <w:r>
        <w:rPr/>
        <w:t xml:space="preserve"> Průkaz tvoří protokol a grafické znázornění.</w:t>
      </w:r>
    </w:p>
    <w:p>
      <w:pPr>
        <w:ind w:left="0" w:right="0"/>
      </w:pPr>
      <w:r>
        <w:rPr>
          <w:b/>
          <w:bCs/>
        </w:rPr>
        <w:t xml:space="preserve">(2)</w:t>
      </w:r>
      <w:r>
        <w:rPr/>
        <w:t xml:space="preserve"> Protokol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účel zpracování průkazu,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hodnocené budově,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stavebních prvcích a konstrukcích a technických systémech,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energetickou náročnost hodnocené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technické, ekonomické a ekologické proveditelnosti alternativních systémů dodávek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doporučená opatření pro snížení energetické náročnosti budovy při větší změně dokončené budovy,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 údaje energetického specialisty a datum vypracování průkazu.</w:t>
      </w:r>
    </w:p>
    <w:p>
      <w:pPr>
        <w:ind w:left="0" w:right="0"/>
      </w:pPr>
      <w:r>
        <w:rPr>
          <w:b/>
          <w:bCs/>
        </w:rPr>
        <w:t xml:space="preserve">(3)</w:t>
      </w:r>
      <w:r>
        <w:rPr/>
        <w:t xml:space="preserve"> Vzor průkazu je uveden v příloze č. 4 k této vyhlášce.</w:t>
      </w:r>
    </w:p>
    <w:p>
      <w:pPr>
        <w:ind w:left="0" w:right="0"/>
      </w:pPr>
      <w:r>
        <w:rPr>
          <w:b/>
          <w:bCs/>
        </w:rPr>
        <w:t xml:space="preserve">(4)</w:t>
      </w:r>
      <w:r>
        <w:rPr/>
        <w:t xml:space="preserve"> Grafické znázornění průkazu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stejné pro novou budovu, budovu s téměř nulovou spotřebou energie, větší změnu dokončené budovy, jinou než větší změnu dokončené budovy a pro případy prodeje a pronájmu budovy nebo její ucelené části. Pouze v případě neuvedení doporučených opatření se příslušné části grafického znázornění nevyplňují a nezobrazují se šipky s hodnotou ukazatelů energetické náročnosti odpovídající těmto doporučením,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obsahuje zařazení budovy do klasifikačních tříd energetické náročnosti budovy (dále jen „klasifikační třída“),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umístěno symetricky na bílém podkladě dvou stran formátu A4 na výšku, přičemž je použito standardních fontů písma podle vzoru uvedeného v příloze č. 4 k této vyhlášce,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obsahuje měrné hodnoty ukazatelů energetické náročnosti budovy vztažené na energeticky vztažnou plochu a také hodnoty ukazatelů energetické náročnosti pro celou budovu.</w:t>
      </w:r>
    </w:p>
    <w:p>
      <w:pPr>
        <w:ind w:left="0" w:right="0"/>
      </w:pPr>
      <w:r>
        <w:rPr>
          <w:b/>
          <w:bCs/>
        </w:rPr>
        <w:t xml:space="preserve">(5)</w:t>
      </w:r>
      <w:r>
        <w:rPr/>
        <w:t xml:space="preserve"> Průkaz zpracovaný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prodej nebo pronájem budovy v případě, že není povinnost zpracovat průkaz pro jiné účely, nemusí obsahovat části protokolu podle odstavce 2 písm. e) a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novou budovu nemusí obsahovat část protokolu podle odstavce 2 písm. f).</w:t>
      </w:r>
    </w:p>
    <w:p>
      <w:pPr>
        <w:ind w:left="0" w:right="0"/>
      </w:pPr>
      <w:r>
        <w:rPr>
          <w:b/>
          <w:bCs/>
        </w:rPr>
        <w:t xml:space="preserve">(6)</w:t>
      </w:r>
      <w:r>
        <w:rPr/>
        <w:t xml:space="preserve"> Klasifikační třídy A až G, jejichž slovní vyjádření a hodnoty pro jejich horní hranici jsou uvedeny v příloze č. 2 k této vyhlášce, se stanovují pro celkovou dodanou energii, neobnovitelnou primární energii, dílčí dodané energie a průměrný součinitel prostupu tepla a použijí se v grafickém znázornění průkazu podle přílohy č. 4 k této vyhlášce.</w:t>
      </w:r>
    </w:p>
    <w:p>
      <w:pPr>
        <w:ind w:left="0" w:right="0"/>
      </w:pPr>
      <w:r>
        <w:rPr>
          <w:b/>
          <w:bCs/>
        </w:rPr>
        <w:t xml:space="preserve">(7)</w:t>
      </w:r>
      <w:r>
        <w:rPr/>
        <w:t xml:space="preserve"> Hranice klasifikačních tříd podle odstavce 6 se stanoví z referenční hodnoty klasifikovaného ukazatele energetické náročnosti budovy E</w:t>
      </w:r>
      <w:r>
        <w:rPr>
          <w:vertAlign w:val="subscript"/>
        </w:rPr>
        <w:t xml:space="preserve">R</w:t>
      </w:r>
      <w:r>
        <w:rPr/>
        <w:t xml:space="preserve">, která se určí jednotně pro referenční podmínky uvedené pro novou budovu v příloze č. 1 k této vyhlášce. Při změně dokončené budovy, výstavbě budovy s téměř nulovou spotřebou a při prodeji nebo pronájmu stávající budovy platí stejná stupnice klasifikačních tříd jako pro nové budovy.</w:t>
      </w:r>
    </w:p>
    <w:p>
      <w:pPr>
        <w:ind w:left="0" w:right="0"/>
      </w:pPr>
      <w:r>
        <w:rPr>
          <w:b/>
          <w:bCs/>
        </w:rPr>
        <w:t xml:space="preserve">(8)</w:t>
      </w:r>
      <w:r>
        <w:rPr/>
        <w:t xml:space="preserve"> V případě rodinných a bytových domů se neurčuje klasifikační třída pro dílčí dodané energie pro chlazení.</w:t>
      </w:r>
    </w:p>
    <w:p>
      <w:pPr>
        <w:pStyle w:val="Heading1"/>
      </w:pPr>
      <w:r>
        <w:rPr>
          <w:b/>
          <w:bCs/>
        </w:rPr>
        <w:t xml:space="preserve">§ 10</w:t>
      </w:r>
      <w:r>
        <w:rPr>
          <w:rStyle w:val="hidden"/>
        </w:rPr>
        <w:t xml:space="preserve"> -</w:t>
      </w:r>
      <w:br/>
      <w:r>
        <w:rPr/>
        <w:t xml:space="preserve">Podmínky pro umístění průkazu v budově</w:t>
      </w:r>
    </w:p>
    <w:p>
      <w:pPr>
        <w:ind w:left="0" w:right="0"/>
      </w:pPr>
      <w:r>
        <w:rPr/>
        <w:t xml:space="preserve">Grafické znázornění průkazu v provedení podle přílohy č. 4 k této vyhlášce se v případě budovy užívané orgánem veřejné moci umisťuje na plochu vnější stěny budovy bezprostředně vedle veřejného vchodu do budovy nebo plochu svislé stěny ve vstupním prostoru uvnitř budovy navazující na tento vchod.</w:t>
      </w:r>
    </w:p>
    <w:p>
      <w:pPr>
        <w:pStyle w:val="Heading1"/>
      </w:pPr>
      <w:r>
        <w:rPr>
          <w:b/>
          <w:bCs/>
        </w:rPr>
        <w:t xml:space="preserve">§ 11</w:t>
      </w:r>
      <w:r>
        <w:rPr>
          <w:rStyle w:val="hidden"/>
        </w:rPr>
        <w:t xml:space="preserve"> -</w:t>
      </w:r>
      <w:br/>
      <w:r>
        <w:rPr/>
        <w:t xml:space="preserve">Zrušovací ustanovení</w:t>
      </w:r>
    </w:p>
    <w:p>
      <w:pPr>
        <w:ind w:left="0" w:right="0"/>
      </w:pPr>
      <w:r>
        <w:rPr/>
        <w:t xml:space="preserve">Vyhláška č. </w:t>
      </w:r>
      <w:hyperlink r:id="rId13" w:history="1">
        <w:r>
          <w:rPr>
            <w:color w:val="darkblue"/>
            <w:u w:val="single"/>
          </w:rPr>
          <w:t xml:space="preserve">148/2007 Sb.</w:t>
        </w:r>
      </w:hyperlink>
      <w:r>
        <w:rPr/>
        <w:t xml:space="preserve">, o energetické náročnosti budov, se zrušuje.</w:t>
      </w:r>
    </w:p>
    <w:p>
      <w:pPr>
        <w:pStyle w:val="Heading1"/>
      </w:pPr>
      <w:r>
        <w:rPr>
          <w:b/>
          <w:bCs/>
        </w:rPr>
        <w:t xml:space="preserve">§ 12</w:t>
      </w:r>
      <w:r>
        <w:rPr>
          <w:rStyle w:val="hidden"/>
        </w:rPr>
        <w:t xml:space="preserve"> -</w:t>
      </w:r>
      <w:br/>
      <w:r>
        <w:rPr/>
        <w:t xml:space="preserve">Účinnost</w:t>
      </w:r>
    </w:p>
    <w:p>
      <w:pPr>
        <w:ind w:left="0" w:right="0"/>
      </w:pPr>
      <w:r>
        <w:rPr/>
        <w:t xml:space="preserve">Tato vyhláška nabývá účinnosti dnem 1. dubna 2013.</w:t>
      </w:r>
    </w:p>
    <w:p>
      <w:pPr>
        <w:spacing w:after="0"/>
      </w:pPr>
      <w:pPr>
        <w:rPr/>
      </w:pPr>
    </w:p>
    <w:p>
      <w:pPr>
        <w:jc w:val="center"/>
        <w:ind w:left="0" w:right="0"/>
        <w:spacing w:after="0"/>
      </w:pPr>
      <w:r>
        <w:rPr/>
        <w:t xml:space="preserve">Ministr:</w:t>
      </w:r>
    </w:p>
    <w:p>
      <w:pPr>
        <w:jc w:val="center"/>
        <w:ind w:left="0" w:right="0"/>
        <w:spacing w:after="0"/>
      </w:pPr>
      <w:r>
        <w:rPr/>
        <w:t xml:space="preserve">MUDr. </w:t>
      </w:r>
      <w:r>
        <w:rPr>
          <w:b/>
          <w:bCs/>
        </w:rPr>
        <w:t xml:space="preserve">Kuba</w:t>
      </w:r>
      <w:r>
        <w:rPr/>
        <w:t xml:space="preserve"> v. r.</w:t>
      </w:r>
    </w:p>
    <w:p>
      <w:pPr>
        <w:spacing w:after="200"/>
      </w:pPr>
      <w:pPr>
        <w:rPr/>
      </w:pPr>
    </w:p>
    <w:p>
      <w:pPr/>
      <w:r>
        <w:pict>
          <v:shape id="_x0000_s112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2010/31/EU</w:t>
        </w:r>
      </w:hyperlink>
      <w:r>
        <w:rPr>
          <w:sz w:val="19.200000000000003"/>
          <w:szCs w:val="19.200000000000003"/>
        </w:rPr>
        <w:t xml:space="preserve"> ze dne 19. května 2010 o energetické náročnosti budov.</w:t>
      </w:r>
    </w:p>
    <w:p>
      <w:pPr>
        <w:ind w:left="560" w:right="0"/>
      </w:pPr>
      <w:r>
        <w:rPr>
          <w:sz w:val="19.200000000000003"/>
          <w:szCs w:val="19.200000000000003"/>
        </w:rPr>
        <w:t xml:space="preserve">Nařízení Komise č. 244/2012 ze dne 16. ledna 2012, kterým se doplňuje směrnice Evropského parlamentu a Rady </w:t>
      </w:r>
      <w:hyperlink r:id="rId14" w:history="1">
        <w:r>
          <w:rPr>
            <w:color w:val="darkblue"/>
            <w:u w:val="single"/>
          </w:rPr>
          <w:t xml:space="preserve">2010/31/EU</w:t>
        </w:r>
      </w:hyperlink>
      <w:r>
        <w:rPr>
          <w:sz w:val="19.200000000000003"/>
          <w:szCs w:val="19.200000000000003"/>
        </w:rPr>
        <w:t xml:space="preserve"> o energetické náročnosti budov stanovením srovnávacího metodického rámce pro výpočet nákladově optimálních úrovní minimálních požadavků na energetickou náročnost budov a prvků budov.</w:t>
      </w:r>
    </w:p>
    <w:p>
      <w:pPr>
        <w:ind w:left="560" w:right="0" w:hanging="560"/>
        <w:tabs>
          <w:tab w:val="right" w:leader="none" w:pos="500"/>
          <w:tab w:val="left" w:leader="none" w:pos="560"/>
        </w:tabs>
      </w:pPr>
      <w:r>
        <w:rPr/>
        <w:t xml:space="preserve">	</w:t>
      </w:r>
      <w:r>
        <w:rPr>
          <w:vertAlign w:val="superscript"/>
        </w:rPr>
        <w:t xml:space="preserve">2)</w:t>
      </w:r>
      <w:r>
        <w:rPr/>
        <w:t xml:space="preserve">	</w:t>
      </w:r>
      <w:hyperlink r:id="rId15" w:history="1">
        <w:r>
          <w:rPr>
            <w:color w:val="darkblue"/>
            <w:u w:val="single"/>
          </w:rPr>
          <w:t xml:space="preserve">ČSN 73 0540-4</w:t>
        </w:r>
      </w:hyperlink>
      <w:r>
        <w:rPr>
          <w:sz w:val="19.200000000000003"/>
          <w:szCs w:val="19.200000000000003"/>
        </w:rPr>
        <w:t xml:space="preserve"> Tepelná ochrana budov – Část 4: Výpočtové metody.</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 w:history="1">
        <w:r>
          <w:rPr>
            <w:color w:val="darkblue"/>
            <w:u w:val="single"/>
          </w:rPr>
          <w:t xml:space="preserve">ČSN EN ISO 13 790</w:t>
        </w:r>
      </w:hyperlink>
      <w:r>
        <w:rPr>
          <w:sz w:val="19.200000000000003"/>
          <w:szCs w:val="19.200000000000003"/>
        </w:rPr>
        <w:t xml:space="preserve"> – Výpočet potřeby energie pro vytápění a chlazení.</w:t>
      </w:r>
    </w:p>
    <w:p>
      <w:pPr>
        <w:ind w:left="560" w:right="0" w:hanging="560"/>
        <w:tabs>
          <w:tab w:val="right" w:leader="none" w:pos="500"/>
          <w:tab w:val="left" w:leader="none" w:pos="560"/>
        </w:tabs>
      </w:pPr>
      <w:r>
        <w:rPr/>
        <w:t xml:space="preserve">	</w:t>
      </w:r>
      <w:r>
        <w:rPr>
          <w:vertAlign w:val="superscript"/>
        </w:rPr>
        <w:t xml:space="preserve">4)</w:t>
      </w:r>
      <w:r>
        <w:rPr/>
        <w:t xml:space="preserve">	</w:t>
      </w:r>
      <w:hyperlink r:id="rId17" w:history="1">
        <w:r>
          <w:rPr>
            <w:color w:val="darkblue"/>
            <w:u w:val="single"/>
          </w:rPr>
          <w:t xml:space="preserve">ČSN EN 15316-1</w:t>
        </w:r>
      </w:hyperlink>
      <w:r>
        <w:rPr>
          <w:sz w:val="19.200000000000003"/>
          <w:szCs w:val="19.200000000000003"/>
        </w:rPr>
        <w:t xml:space="preserve"> – Tepelné soustavy v budovách – Výpočtová metoda pro stanovení energetických potřeb a účinností soustavy – Část 1: Všeobecné požadavky.</w:t>
      </w:r>
    </w:p>
    <w:p>
      <w:pPr>
        <w:ind w:left="560" w:right="0"/>
      </w:pPr>
      <w:r>
        <w:rPr>
          <w:sz w:val="19.200000000000003"/>
          <w:szCs w:val="19.200000000000003"/>
        </w:rPr>
        <w:t xml:space="preserve">ČSN EN 15316-2 Tepelné soustavy v budovách – Výpočtová metoda pro stanovení energetických potřeb a účinností soustavy – </w:t>
      </w:r>
      <w:hyperlink r:id="rId18" w:history="1">
        <w:r>
          <w:rPr>
            <w:color w:val="darkblue"/>
            <w:u w:val="single"/>
          </w:rPr>
          <w:t xml:space="preserve">Část 2-1</w:t>
        </w:r>
      </w:hyperlink>
      <w:r>
        <w:rPr>
          <w:sz w:val="19.200000000000003"/>
          <w:szCs w:val="19.200000000000003"/>
        </w:rPr>
        <w:t xml:space="preserve">: Sdílení tepla pro vytápění, </w:t>
      </w:r>
      <w:hyperlink r:id="rId19" w:history="1">
        <w:r>
          <w:rPr>
            <w:color w:val="darkblue"/>
            <w:u w:val="single"/>
          </w:rPr>
          <w:t xml:space="preserve">Část 2-3</w:t>
        </w:r>
      </w:hyperlink>
      <w:r>
        <w:rPr>
          <w:sz w:val="19.200000000000003"/>
          <w:szCs w:val="19.200000000000003"/>
        </w:rPr>
        <w:t xml:space="preserve">: Rozvody tepla pro vytápění.</w:t>
      </w:r>
    </w:p>
    <w:p>
      <w:pPr>
        <w:ind w:left="560" w:right="0"/>
      </w:pPr>
      <w:r>
        <w:rPr>
          <w:sz w:val="19.200000000000003"/>
          <w:szCs w:val="19.200000000000003"/>
        </w:rPr>
        <w:t xml:space="preserve">ČSN EN 15316-4 – Tepelné soustavy v budovách – Výpočtová metoda pro stanovení energetických potřeb a účinností soustavy – </w:t>
      </w:r>
      <w:hyperlink r:id="rId20" w:history="1">
        <w:r>
          <w:rPr>
            <w:color w:val="darkblue"/>
            <w:u w:val="single"/>
          </w:rPr>
          <w:t xml:space="preserve">Část 4-1</w:t>
        </w:r>
      </w:hyperlink>
      <w:r>
        <w:rPr>
          <w:sz w:val="19.200000000000003"/>
          <w:szCs w:val="19.200000000000003"/>
        </w:rPr>
        <w:t xml:space="preserve">: Zdroje tepla pro vytápění, kotle, </w:t>
      </w:r>
      <w:hyperlink r:id="rId21" w:history="1">
        <w:r>
          <w:rPr>
            <w:color w:val="darkblue"/>
            <w:u w:val="single"/>
          </w:rPr>
          <w:t xml:space="preserve">Část 4-2</w:t>
        </w:r>
      </w:hyperlink>
      <w:r>
        <w:rPr>
          <w:sz w:val="19.200000000000003"/>
          <w:szCs w:val="19.200000000000003"/>
        </w:rPr>
        <w:t xml:space="preserve">: Výroba tepla na vytápění, tepelná čerpadla, </w:t>
      </w:r>
      <w:hyperlink r:id="rId22" w:history="1">
        <w:r>
          <w:rPr>
            <w:color w:val="darkblue"/>
            <w:u w:val="single"/>
          </w:rPr>
          <w:t xml:space="preserve">Část 4-4</w:t>
        </w:r>
      </w:hyperlink>
      <w:r>
        <w:rPr>
          <w:sz w:val="19.200000000000003"/>
          <w:szCs w:val="19.200000000000003"/>
        </w:rPr>
        <w:t xml:space="preserve">: Výroba tepla na vytápění, kombinovaná výroba elektřiny a tepla integrovaná do budovy, </w:t>
      </w:r>
      <w:hyperlink r:id="rId23" w:history="1">
        <w:r>
          <w:rPr>
            <w:color w:val="darkblue"/>
            <w:u w:val="single"/>
          </w:rPr>
          <w:t xml:space="preserve">Část 4-5</w:t>
        </w:r>
      </w:hyperlink>
      <w:r>
        <w:rPr>
          <w:sz w:val="19.200000000000003"/>
          <w:szCs w:val="19.200000000000003"/>
        </w:rPr>
        <w:t xml:space="preserve">: Výroba tepla na vytápění, účinnosti a vlastnosti dálkového vytápění a soustav o velkém objemu, </w:t>
      </w:r>
      <w:hyperlink r:id="rId24" w:history="1">
        <w:r>
          <w:rPr>
            <w:color w:val="darkblue"/>
            <w:u w:val="single"/>
          </w:rPr>
          <w:t xml:space="preserve">Část 4-6</w:t>
        </w:r>
      </w:hyperlink>
      <w:r>
        <w:rPr>
          <w:sz w:val="19.200000000000003"/>
          <w:szCs w:val="19.200000000000003"/>
        </w:rPr>
        <w:t xml:space="preserve">: Výroba tepla na vytápění, fotovoltaické systémy, </w:t>
      </w:r>
      <w:hyperlink r:id="rId25" w:history="1">
        <w:r>
          <w:rPr>
            <w:color w:val="darkblue"/>
            <w:u w:val="single"/>
          </w:rPr>
          <w:t xml:space="preserve">Část 4-7</w:t>
        </w:r>
      </w:hyperlink>
      <w:r>
        <w:rPr>
          <w:sz w:val="19.200000000000003"/>
          <w:szCs w:val="19.200000000000003"/>
        </w:rPr>
        <w:t xml:space="preserve">: Zdroj tepla na spalování biomasy, </w:t>
      </w:r>
      <w:hyperlink r:id="rId26" w:history="1">
        <w:r>
          <w:rPr>
            <w:color w:val="darkblue"/>
            <w:u w:val="single"/>
          </w:rPr>
          <w:t xml:space="preserve">Část 4-8</w:t>
        </w:r>
      </w:hyperlink>
      <w:r>
        <w:rPr>
          <w:sz w:val="19.200000000000003"/>
          <w:szCs w:val="19.200000000000003"/>
        </w:rPr>
        <w:t xml:space="preserve">: Otopné soustavy, teplovzdušné vytápění a stropní sálavé vytápění.</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7" w:history="1">
        <w:r>
          <w:rPr>
            <w:color w:val="darkblue"/>
            <w:u w:val="single"/>
          </w:rPr>
          <w:t xml:space="preserve">ČSN EN 15665</w:t>
        </w:r>
      </w:hyperlink>
      <w:r>
        <w:rPr>
          <w:sz w:val="19.200000000000003"/>
          <w:szCs w:val="19.200000000000003"/>
        </w:rPr>
        <w:t xml:space="preserve"> Větrání budov – Stanovení výkonových kritérií pro větrací systémy obytných budov.</w:t>
      </w:r>
    </w:p>
    <w:p>
      <w:pPr>
        <w:ind w:left="560" w:right="0"/>
      </w:pPr>
      <w:hyperlink r:id="rId28" w:history="1">
        <w:r>
          <w:rPr>
            <w:color w:val="darkblue"/>
            <w:u w:val="single"/>
          </w:rPr>
          <w:t xml:space="preserve">ČSN EN 15241</w:t>
        </w:r>
      </w:hyperlink>
      <w:r>
        <w:rPr>
          <w:sz w:val="19.200000000000003"/>
          <w:szCs w:val="19.200000000000003"/>
        </w:rPr>
        <w:t xml:space="preserve"> – Větrání budov – Výpočtové metody ke stanovení energetických ztrát způsobených větráním a infiltrací v komerčních budovách.</w:t>
      </w:r>
    </w:p>
    <w:p>
      <w:pPr>
        <w:ind w:left="560" w:right="0"/>
      </w:pPr>
      <w:hyperlink r:id="rId29" w:history="1">
        <w:r>
          <w:rPr>
            <w:color w:val="darkblue"/>
            <w:u w:val="single"/>
          </w:rPr>
          <w:t xml:space="preserve">ČSN EN 15242</w:t>
        </w:r>
      </w:hyperlink>
      <w:r>
        <w:rPr>
          <w:sz w:val="19.200000000000003"/>
          <w:szCs w:val="19.200000000000003"/>
        </w:rPr>
        <w:t xml:space="preserve"> – Větrání budov – Výpočtové metody pro stanovení průtoku vzduchu v budovách včetně filtrace.</w:t>
      </w:r>
    </w:p>
    <w:p>
      <w:pPr>
        <w:ind w:left="560" w:right="0"/>
      </w:pPr>
      <w:hyperlink r:id="rId30" w:history="1">
        <w:r>
          <w:rPr>
            <w:color w:val="darkblue"/>
            <w:u w:val="single"/>
          </w:rPr>
          <w:t xml:space="preserve">ČSN EN 15243</w:t>
        </w:r>
      </w:hyperlink>
      <w:r>
        <w:rPr>
          <w:sz w:val="19.200000000000003"/>
          <w:szCs w:val="19.200000000000003"/>
        </w:rPr>
        <w:t xml:space="preserve"> – Větrání budov – Výpočet teplot v místnosti, tepelné zátěže a energie pro budovy s klimatizačními systémy.</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ČSN EN 15316-3 - Tepelné soustavy v budovách – Výpočtová metoda pro stanovení energetických potřeb a účinností soustavy, </w:t>
      </w:r>
      <w:hyperlink r:id="rId31" w:history="1">
        <w:r>
          <w:rPr>
            <w:color w:val="darkblue"/>
            <w:u w:val="single"/>
          </w:rPr>
          <w:t xml:space="preserve">Část 3-2</w:t>
        </w:r>
      </w:hyperlink>
      <w:r>
        <w:rPr>
          <w:sz w:val="19.200000000000003"/>
          <w:szCs w:val="19.200000000000003"/>
        </w:rPr>
        <w:t xml:space="preserve">: Soustavy teplé vody, rozvody a </w:t>
      </w:r>
      <w:hyperlink r:id="rId32" w:history="1">
        <w:r>
          <w:rPr>
            <w:color w:val="darkblue"/>
            <w:u w:val="single"/>
          </w:rPr>
          <w:t xml:space="preserve">Část 3-3</w:t>
        </w:r>
      </w:hyperlink>
      <w:r>
        <w:rPr>
          <w:sz w:val="19.200000000000003"/>
          <w:szCs w:val="19.200000000000003"/>
        </w:rPr>
        <w:t xml:space="preserve">: Soustavy teplé vody, příprava.</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3" w:history="1">
        <w:r>
          <w:rPr>
            <w:color w:val="darkblue"/>
            <w:u w:val="single"/>
          </w:rPr>
          <w:t xml:space="preserve">ČSN EN 15193</w:t>
        </w:r>
      </w:hyperlink>
      <w:r>
        <w:rPr>
          <w:sz w:val="19.200000000000003"/>
          <w:szCs w:val="19.200000000000003"/>
        </w:rPr>
        <w:t xml:space="preserve"> Energetické hodnocení budov – Energetické požadavky na osvětlení.</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4" w:history="1">
        <w:r>
          <w:rPr>
            <w:color w:val="darkblue"/>
            <w:u w:val="single"/>
          </w:rPr>
          <w:t xml:space="preserve">ČSN EN 15459</w:t>
        </w:r>
      </w:hyperlink>
      <w:r>
        <w:rPr>
          <w:sz w:val="19.200000000000003"/>
          <w:szCs w:val="19.200000000000003"/>
        </w:rPr>
        <w:t xml:space="preserve"> – Energetická náročnost budov - Postupy pro ekonomické hodnocení energetických soustav v budovách.</w:t>
      </w:r>
    </w:p>
    <w:p>
      <w:pPr>
        <w:pStyle w:val="Heading1"/>
      </w:pPr>
      <w:r>
        <w:rPr>
          <w:sz w:val="24"/>
          <w:szCs w:val="24"/>
          <w:b/>
          <w:bCs/>
        </w:rPr>
        <w:t xml:space="preserve">                                                                               Příloha č. 1 k vyhlášce č. 78/2013 Sb.</w:t>
      </w:r>
      <w:r>
        <w:rPr>
          <w:rStyle w:val="hidden"/>
        </w:rPr>
        <w:t xml:space="preserve"> -</w:t>
      </w:r>
      <w:br/>
      <w:r>
        <w:rPr/>
        <w:t xml:space="preserve">Parametry a hodnoty referenční budovy, referenční hodnoty pro měněné stavební prvky obálky budovy a referenční hodnoty pro měněné technické systémy budovy</w:t>
      </w:r>
    </w:p>
    <w:p>
      <w:pPr>
        <w:jc w:val="center"/>
      </w:pPr>
      <w:hyperlink r:id="rId35" w:history="1">
        <w:r>
          <w:rPr>
            <w:color w:val="blue"/>
          </w:rPr>
          <w:t xml:space="preserve">Příloha PDF (317 kB)</w:t>
        </w:r>
      </w:hyperlink>
    </w:p>
    <w:p>
      <w:pPr>
        <w:pStyle w:val="Heading1"/>
      </w:pPr>
      <w:r>
        <w:rPr>
          <w:sz w:val="24"/>
          <w:szCs w:val="24"/>
          <w:b/>
          <w:bCs/>
        </w:rPr>
        <w:t xml:space="preserve">                                                                               Příloha č. 2 k vyhlášce č. 78/2013 Sb.</w:t>
      </w:r>
      <w:r>
        <w:rPr>
          <w:rStyle w:val="hidden"/>
        </w:rPr>
        <w:t xml:space="preserve"> -</w:t>
      </w:r>
      <w:br/>
      <w:r>
        <w:rPr/>
        <w:t xml:space="preserve">Klasifikační třídy energetické náročnosti budovy</w:t>
      </w:r>
    </w:p>
    <w:p>
      <w:pPr>
        <w:jc w:val="center"/>
      </w:pPr>
      <w:hyperlink r:id="rId36" w:history="1">
        <w:r>
          <w:rPr>
            <w:color w:val="blue"/>
          </w:rPr>
          <w:t xml:space="preserve">Příloha PDF (52 kB)</w:t>
        </w:r>
      </w:hyperlink>
    </w:p>
    <w:p>
      <w:pPr>
        <w:pStyle w:val="Heading1"/>
      </w:pPr>
      <w:r>
        <w:rPr>
          <w:sz w:val="24"/>
          <w:szCs w:val="24"/>
          <w:b/>
          <w:bCs/>
        </w:rPr>
        <w:t xml:space="preserve">                                                                               Příloha č. 3 k vyhlášce č. 78/2013 Sb.</w:t>
      </w:r>
      <w:r>
        <w:rPr>
          <w:rStyle w:val="hidden"/>
        </w:rPr>
        <w:t xml:space="preserve"> -</w:t>
      </w:r>
      <w:br/>
      <w:r>
        <w:rPr/>
        <w:t xml:space="preserve">Faktory primární energie hodnocené budovy</w:t>
      </w:r>
    </w:p>
    <w:p>
      <w:pPr>
        <w:jc w:val="center"/>
      </w:pPr>
      <w:hyperlink r:id="rId37" w:history="1">
        <w:r>
          <w:rPr>
            <w:color w:val="blue"/>
          </w:rPr>
          <w:t xml:space="preserve">Příloha PDF (42 kB)</w:t>
        </w:r>
      </w:hyperlink>
    </w:p>
    <w:p>
      <w:pPr>
        <w:pStyle w:val="Heading1"/>
      </w:pPr>
      <w:r>
        <w:rPr>
          <w:sz w:val="24"/>
          <w:szCs w:val="24"/>
          <w:b/>
          <w:bCs/>
        </w:rPr>
        <w:t xml:space="preserve">                                                                               Příloha č. 4 k vyhlášce č. 78/2013 Sb.</w:t>
      </w:r>
      <w:r>
        <w:rPr>
          <w:rStyle w:val="hidden"/>
        </w:rPr>
        <w:t xml:space="preserve"> -</w:t>
      </w:r>
      <w:br/>
      <w:r>
        <w:rPr/>
        <w:t xml:space="preserve">Vzor průkazu energetické náročnosti budovy</w:t>
      </w:r>
    </w:p>
    <w:p>
      <w:pPr>
        <w:jc w:val="center"/>
      </w:pPr>
      <w:hyperlink r:id="rId38" w:history="1">
        <w:r>
          <w:rPr>
            <w:color w:val="blue"/>
          </w:rPr>
          <w:t xml:space="preserve">Příloha PDF (647 kB)</w:t>
        </w:r>
      </w:hyperlink>
    </w:p>
    <w:sectPr>
      <w:headerReference w:type="default" r:id="rId39"/>
      <w:footerReference w:type="default" r:id="rId4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78/2013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0s406-2012s318#C01_H06_P014" TargetMode="External"/><Relationship Id="rId8" Type="http://schemas.openxmlformats.org/officeDocument/2006/relationships/hyperlink" Target="https://esipa.cz/sbirka/sbsrv.dll/sb?DR=SB&amp;CP=2000s406" TargetMode="External"/><Relationship Id="rId9" Type="http://schemas.openxmlformats.org/officeDocument/2006/relationships/hyperlink" Target="https://esipa.cz/sbirka/sbsrv.dll/sb?DR=SB&amp;CP=2012s165" TargetMode="External"/><Relationship Id="rId10" Type="http://schemas.openxmlformats.org/officeDocument/2006/relationships/hyperlink" Target="https://esipa.cz/sbirka/sbsrv.dll/sb?DR=SB&amp;CP=2012s318" TargetMode="External"/><Relationship Id="rId11" Type="http://schemas.openxmlformats.org/officeDocument/2006/relationships/hyperlink" Target="https://esipa.cz/sbirka/sbsrv.dll/sb?DR=AZ&amp;CP=2000s406-2012s318#C01_H04_P007" TargetMode="External"/><Relationship Id="rId12" Type="http://schemas.openxmlformats.org/officeDocument/2006/relationships/hyperlink" Target="https://esipa.cz/sbirka/sbsrv.dll/sb?DR=AZ&amp;CP=2000s406-2012s318#C01_H04_P007A" TargetMode="External"/><Relationship Id="rId13" Type="http://schemas.openxmlformats.org/officeDocument/2006/relationships/hyperlink" Target="https://esipa.cz/sbirka/sbsrv.dll/sb?DR=SB&amp;CP=2007s148" TargetMode="External"/><Relationship Id="rId14" Type="http://schemas.openxmlformats.org/officeDocument/2006/relationships/hyperlink" Target="https://esipa.cz/sbirka/sbsrv.dll/sb?DR=SB&amp;CP=32010L0031" TargetMode="External"/><Relationship Id="rId15" Type="http://schemas.openxmlformats.org/officeDocument/2006/relationships/hyperlink" Target="http://www.technicke-normy-csn.cz/730540-csn-73-0540-4_4_72542.html" TargetMode="External"/><Relationship Id="rId16" Type="http://schemas.openxmlformats.org/officeDocument/2006/relationships/hyperlink" Target="http://www.technicke-normy-csn.cz/730317-csn-en-iso-13790_4_84106.html" TargetMode="External"/><Relationship Id="rId17" Type="http://schemas.openxmlformats.org/officeDocument/2006/relationships/hyperlink" Target="http://www.technicke-normy-csn.cz/060401-csn-en-15316-1_4_86101.html" TargetMode="External"/><Relationship Id="rId18" Type="http://schemas.openxmlformats.org/officeDocument/2006/relationships/hyperlink" Target="http://www.technicke-normy-csn.cz/060401-csn-en-15316-2-1_4_84927.html" TargetMode="External"/><Relationship Id="rId19" Type="http://schemas.openxmlformats.org/officeDocument/2006/relationships/hyperlink" Target="http://www.technicke-normy-csn.cz/060401-csn-en-15316-2-3_4_86102.html" TargetMode="External"/><Relationship Id="rId20" Type="http://schemas.openxmlformats.org/officeDocument/2006/relationships/hyperlink" Target="http://www.technicke-normy-csn.cz/060401-csn-en-15316-4-1_4_84926.html" TargetMode="External"/><Relationship Id="rId21" Type="http://schemas.openxmlformats.org/officeDocument/2006/relationships/hyperlink" Target="http://www.technicke-normy-csn.cz/060401-csn-en-15316-4-2_4_88949.html" TargetMode="External"/><Relationship Id="rId22" Type="http://schemas.openxmlformats.org/officeDocument/2006/relationships/hyperlink" Target="http://www.technicke-normy-csn.cz/060401-csn-en-15316-4-4_4_83802.html" TargetMode="External"/><Relationship Id="rId23" Type="http://schemas.openxmlformats.org/officeDocument/2006/relationships/hyperlink" Target="http://www.technicke-normy-csn.cz/060401-csn-en-15316-4-5_4_83801.html" TargetMode="External"/><Relationship Id="rId24" Type="http://schemas.openxmlformats.org/officeDocument/2006/relationships/hyperlink" Target="http://www.technicke-normy-csn.cz/060401-csn-en-15316-4-6_4_79803.html" TargetMode="External"/><Relationship Id="rId25" Type="http://schemas.openxmlformats.org/officeDocument/2006/relationships/hyperlink" Target="http://www.technicke-normy-csn.cz/060401-csn-en-15316-4-7_4_88619.html" TargetMode="External"/><Relationship Id="rId26" Type="http://schemas.openxmlformats.org/officeDocument/2006/relationships/hyperlink" Target="http://www.technicke-normy-csn.cz/060401-csn-en-15316-4-8_4_89299.html" TargetMode="External"/><Relationship Id="rId27" Type="http://schemas.openxmlformats.org/officeDocument/2006/relationships/hyperlink" Target="http://www.technicke-normy-csn.cz/127021-csn-en-15665_4_84586.html" TargetMode="External"/><Relationship Id="rId28" Type="http://schemas.openxmlformats.org/officeDocument/2006/relationships/hyperlink" Target="http://www.technicke-normy-csn.cz/127024-csn-en-15241_4_79422.html" TargetMode="External"/><Relationship Id="rId29" Type="http://schemas.openxmlformats.org/officeDocument/2006/relationships/hyperlink" Target="http://www.technicke-normy-csn.cz/127026-csn-en-15242_4_79425.html" TargetMode="External"/><Relationship Id="rId30" Type="http://schemas.openxmlformats.org/officeDocument/2006/relationships/hyperlink" Target="http://www.technicke-normy-csn.cz/127027-csn-en-15243_4_79804.html" TargetMode="External"/><Relationship Id="rId31" Type="http://schemas.openxmlformats.org/officeDocument/2006/relationships/hyperlink" Target="http://www.technicke-normy-csn.cz/060401-csn-en-15316-3-2_4_86104.html" TargetMode="External"/><Relationship Id="rId32" Type="http://schemas.openxmlformats.org/officeDocument/2006/relationships/hyperlink" Target="http://www.technicke-normy-csn.cz/060401-csn-en-15316-3-3_4_86105.html" TargetMode="External"/><Relationship Id="rId33" Type="http://schemas.openxmlformats.org/officeDocument/2006/relationships/hyperlink" Target="http://www.technicke-normy-csn.cz/730327-csn-en-15193_4_81085.html" TargetMode="External"/><Relationship Id="rId34" Type="http://schemas.openxmlformats.org/officeDocument/2006/relationships/hyperlink" Target="http://www.technicke-normy-csn.cz/060405-csn-en-15459_4_85034.html" TargetMode="External"/><Relationship Id="rId35" Type="http://schemas.openxmlformats.org/officeDocument/2006/relationships/hyperlink" Target="https://esipa.cz/soubor/b752592f5e3e669dfe906f858cbe54794f4448b8ffe8d74b91932e3267fa023a7a3779562a45ae2217dac6ba7971533bea0d578146a1a8c205a5401e94489ba6/2013s078p01.pdf" TargetMode="External"/><Relationship Id="rId36" Type="http://schemas.openxmlformats.org/officeDocument/2006/relationships/hyperlink" Target="https://esipa.cz/soubor/9dd9988eb83b26fe1655e178c149abe3b07cd9fab8a8b7eb76a9837c64a2e8aa4a7da9c22d237bb8149e1faf743ff52160e7ed63be0928230d1c4691f7d26534/2013s078p02.pdf" TargetMode="External"/><Relationship Id="rId37" Type="http://schemas.openxmlformats.org/officeDocument/2006/relationships/hyperlink" Target="https://esipa.cz/soubor/23ad060c2ae5ed1902c6ce8d2dbcc4aa8955d17c232195a50611c217d710adf5a98537d6bf010f5b7f4dd8fcb61ee3f84426d130f3d5f84c5c58b75295abe0bf/2013s078p03.pdf" TargetMode="External"/><Relationship Id="rId38" Type="http://schemas.openxmlformats.org/officeDocument/2006/relationships/hyperlink" Target="https://esipa.cz/soubor/7228724f0ad01db82bccb1c818edc1f5651f49f6d634db119476e5e07a2210696b7fed200b6ac84143acd8cd617469cb797a71c3a5d21302c30b567a81c284d9/2013s078p04.pdf" TargetMode="External"/><Relationship Id="rId39" Type="http://schemas.openxmlformats.org/officeDocument/2006/relationships/header" Target="header1.xml"/><Relationship Id="rId4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78/2013 Sb. - původní znění</dc:title>
  <dc:description>Vyhláška o energetické náročnosti budov</dc:description>
  <dc:subject/>
  <cp:keywords/>
  <cp:category/>
  <cp:lastModifiedBy/>
  <dcterms:created xsi:type="dcterms:W3CDTF">2013-04-01T00:00:00+02:00</dcterms:created>
  <dcterms:modified xsi:type="dcterms:W3CDTF">2023-11-20T13:10:47+01:00</dcterms:modified>
</cp:coreProperties>
</file>

<file path=docProps/custom.xml><?xml version="1.0" encoding="utf-8"?>
<Properties xmlns="http://schemas.openxmlformats.org/officeDocument/2006/custom-properties" xmlns:vt="http://schemas.openxmlformats.org/officeDocument/2006/docPropsVTypes"/>
</file>