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provozovaný výherní hrací přístroj,</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které byl přiznán III. stupeň mimořádných výhod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kterým byl přiznán III. stupeň mimořádných výhod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vybírá pro obec ubytovatel, kterým je fyzická nebo právnická osoba, která přechodné ubytování poskytla; tato osoba je plátcem poplatku a za poplatek ručí.</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lázeňských místech nebo místech soustředěného turistického ruchu z ubytovací kapacity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ubytovací kapacita v zařízeních sloužících pro ubytování pracovníků fyzických a právnických osob, které tato zařízení vlastní nebo k nim mají právo hospodaření,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4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9"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12</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13</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ind w:left="0" w:right="0"/>
      </w:pPr>
      <w:r>
        <w:rPr>
          <w:b/>
          <w:bCs/>
        </w:rPr>
        <w:t xml:space="preserve">(1)</w:t>
      </w:r>
      <w:r>
        <w:rPr/>
        <w:t xml:space="preserve"> Poplatku za provozovaný výherní hrací přístroj podléhá každý povolený hrací přístroj.</w:t>
      </w:r>
      <w:r>
        <w:rPr>
          <w:vertAlign w:val="superscript"/>
        </w:rPr>
        <w:t xml:space="preserve">15</w:t>
      </w:r>
      <w:r>
        <w:rPr/>
        <w:t xml:space="preserve">) Obec není povinna poskytnout osvobození od tohoto poplatku.</w:t>
      </w:r>
    </w:p>
    <w:p>
      <w:pPr>
        <w:ind w:left="0" w:right="0"/>
      </w:pPr>
      <w:r>
        <w:rPr>
          <w:b/>
          <w:bCs/>
        </w:rPr>
        <w:t xml:space="preserve">(2)</w:t>
      </w:r>
      <w:r>
        <w:rPr/>
        <w:t xml:space="preserve"> Poplatek za výherní hrací přístroj platí jeho provozovatel.</w:t>
      </w:r>
    </w:p>
    <w:p>
      <w:pPr>
        <w:ind w:left="0" w:right="0"/>
      </w:pPr>
      <w:r>
        <w:rPr>
          <w:b/>
          <w:bCs/>
        </w:rPr>
        <w:t xml:space="preserve">(3)</w:t>
      </w:r>
      <w:r>
        <w:rPr/>
        <w:t xml:space="preserve"> Sazba poplatku za každý výherní hrací přístroj na tři měsíce činí od 1000 Kč do 5000 Kč.</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pPr>
        <w:ind w:left="0" w:right="0"/>
      </w:pPr>
      <w:r>
        <w:rPr>
          <w:b/>
          <w:bCs/>
        </w:rPr>
        <w:t xml:space="preserve">(2)</w:t>
      </w:r>
      <w:r>
        <w:rPr/>
        <w:t xml:space="preserve">  Poplatek se platí obci, na jejímž území má fyzická osoba trvalý pobyt nebo se na jejím území nachází stavba určená nebo sloužící k individuální rekreaci.</w:t>
      </w:r>
    </w:p>
    <w:p>
      <w:pPr>
        <w:ind w:left="0" w:right="0"/>
      </w:pPr>
      <w:r>
        <w:rPr>
          <w:b/>
          <w:bCs/>
        </w:rPr>
        <w:t xml:space="preserve">(3)</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roku na sběr a svoz netříděného komunálního odpadu až 250 Kč za osobu uvedenou v odstavci 1 a kalendářní rok; obec v obecně závazné vyhlášce stanoví rozúčtování nákladů na sběr a svoz netříděného komunálního odpadu na osobu.</w:t>
      </w:r>
    </w:p>
    <w:p>
      <w:pPr>
        <w:ind w:left="0" w:right="0"/>
      </w:pPr>
      <w:r>
        <w:rPr>
          <w:b/>
          <w:bCs/>
        </w:rPr>
        <w:t xml:space="preserve">(4)</w:t>
      </w:r>
      <w:r>
        <w:rPr/>
        <w:t xml:space="preserve"> 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t xml:space="preserve">Nebudou-li poplatky zaplaceny (odvedeny) včas nebo ve správné výši, vyměří obec poplatek platebním výměrem. Včas nezaplacené (neodvedené) poplatky nebo jejich nezaplacenou (neodvedenou) část může obec zvýšit až na trojnásobek.Vyměřené poplatky se zaokrouhlují na celé koruny nahoru.</w:t>
      </w:r>
    </w:p>
    <w:p>
      <w:pPr>
        <w:pStyle w:val="Heading1"/>
      </w:pPr>
      <w:r>
        <w:rPr>
          <w:b/>
          <w:bCs/>
        </w:rPr>
        <w:t xml:space="preserve">§ 12</w:t>
      </w:r>
    </w:p>
    <w:p>
      <w:pPr>
        <w:ind w:left="0" w:right="0"/>
      </w:pPr>
      <w:r>
        <w:rPr>
          <w:b/>
          <w:bCs/>
        </w:rPr>
        <w:t xml:space="preserve">(1)</w:t>
      </w:r>
      <w:r>
        <w:rPr/>
        <w:t xml:space="preserve">  Pokud poplatník nebo plátce nesplní svoji poplatkovou povinnost stanovenou obecně závaznou vyhláškou obce, lze dlužné částky vyměřit nebo doměřit do 3 let od konce kalendářního roku, ve kterém poplatková povinnost vznikla.</w:t>
      </w:r>
    </w:p>
    <w:p>
      <w:pPr>
        <w:ind w:left="0" w:right="0"/>
      </w:pPr>
      <w:r>
        <w:rPr>
          <w:b/>
          <w:bCs/>
        </w:rPr>
        <w:t xml:space="preserve">(2)</w:t>
      </w:r>
      <w:r>
        <w:rPr/>
        <w:t xml:space="preserve">  Byl-li před uplynutím této lhůty učiněn úkon směřující k vyměření nebo doměření poplatku, běží tříletá lhůta znovu od konce roku, v němž byl poplatník nebo plátce o tomto úkonu písemně uvědoměn. Vyměřit a doměřit poplatek lze nejpozději do 10 let od konce kalendářního roku, ve kterém poplatková povinnost vznikla.</w:t>
      </w:r>
    </w:p>
    <w:p>
      <w:pPr>
        <w:pStyle w:val="Heading1"/>
      </w:pPr>
      <w:r>
        <w:rPr>
          <w:b/>
          <w:bCs/>
        </w:rPr>
        <w:t xml:space="preserve">§ 13</w:t>
      </w:r>
    </w:p>
    <w:p>
      <w:pPr>
        <w:ind w:left="0" w:right="0"/>
      </w:pPr>
      <w:r>
        <w:rPr/>
        <w:t xml:space="preserve">O řízení ve věcech poplatků platí zvláštní předpisy,</w:t>
      </w:r>
      <w:r>
        <w:rPr>
          <w:vertAlign w:val="superscript"/>
        </w:rPr>
        <w:t xml:space="preserve">8)</w:t>
      </w:r>
      <w:r>
        <w:rPr/>
        <w:t xml:space="preserve"> pokud tento zákon nestanoví jinak.</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ohlašovací povinnost ke vzniku a zániku poplatkové povinnosti, splatnost, úlevy a případné osvobození od poplatků.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ind w:left="0" w:right="0"/>
      </w:pPr>
      <w:r>
        <w:rPr/>
        <w:t xml:space="preserve">Obec, která poplatky spravuje, může na žádost poplatníka z důvodu odstranění tvrdosti poplatek nebo jeho příslušenství zcela nebo částečně prominout.</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0"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1"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2"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3"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0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4"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 86 zákona č. </w:t>
      </w:r>
      <w:hyperlink r:id="rId15"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6"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7"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18"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15"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9"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0"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5"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1"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2"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3"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2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ČNR č. </w:t>
      </w:r>
      <w:hyperlink r:id="rId25" w:history="1">
        <w:r>
          <w:rPr>
            <w:color w:val="darkblue"/>
            <w:u w:val="single"/>
          </w:rPr>
          <w:t xml:space="preserve">202/1990 Sb.</w:t>
        </w:r>
      </w:hyperlink>
      <w:r>
        <w:rPr>
          <w:sz w:val="19.200000000000003"/>
          <w:szCs w:val="19.200000000000003"/>
        </w:rPr>
        <w:t xml:space="preserve">, o loteriích a jiných podobných hrách, ve znění zákona č. </w:t>
      </w:r>
      <w:hyperlink r:id="rId26"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8"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29" w:history="1">
        <w:r>
          <w:rPr>
            <w:color w:val="darkblue"/>
            <w:u w:val="single"/>
          </w:rPr>
          <w:t xml:space="preserve">279/1997 Sb.</w:t>
        </w:r>
      </w:hyperlink>
      <w:r>
        <w:rPr>
          <w:sz w:val="19.200000000000003"/>
          <w:szCs w:val="19.200000000000003"/>
        </w:rPr>
        <w:t xml:space="preserve">, kterou se provádějí některá ustanovení zákona č. </w:t>
      </w:r>
      <w:hyperlink r:id="rId2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5"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0" w:history="1">
        <w:r>
          <w:rPr>
            <w:color w:val="darkblue"/>
            <w:u w:val="single"/>
          </w:rPr>
          <w:t xml:space="preserve">128/2000 Sb.</w:t>
        </w:r>
      </w:hyperlink>
      <w:r>
        <w:rPr/>
        <w:t xml:space="preserve">, o obcích (obecní zřízení), a § 59 odst.  1 písm.  b) zákona č. </w:t>
      </w:r>
      <w:hyperlink r:id="rId31"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0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2"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3"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sectPr>
      <w:headerReference w:type="default" r:id="rId34"/>
      <w:footerReference w:type="default" r:id="rId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229/2003 Sb. z </w:t>
          </w:r>
          <w:r>
            <w:rPr>
              <w:rStyle w:val="bold"/>
            </w:rPr>
            <w:t xml:space="preserve">1. 1. 2004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1992s338" TargetMode="External"/><Relationship Id="rId10" Type="http://schemas.openxmlformats.org/officeDocument/2006/relationships/hyperlink" Target="https://esipa.cz/sbirka/sbsrv.dll/sb?DR=SB&amp;CP=1952s082" TargetMode="External"/><Relationship Id="rId11" Type="http://schemas.openxmlformats.org/officeDocument/2006/relationships/hyperlink" Target="https://esipa.cz/sbirka/sbsrv.dll/sb?DR=SB&amp;CP=1966s067" TargetMode="External"/><Relationship Id="rId12" Type="http://schemas.openxmlformats.org/officeDocument/2006/relationships/hyperlink" Target="https://esipa.cz/sbirka/sbsrv.dll/sb?DR=SB&amp;CP=1988s216" TargetMode="External"/><Relationship Id="rId13" Type="http://schemas.openxmlformats.org/officeDocument/2006/relationships/hyperlink" Target="https://esipa.cz/sbirka/sbsrv.dll/sb?DR=SB&amp;CP=1989s007" TargetMode="External"/><Relationship Id="rId14" Type="http://schemas.openxmlformats.org/officeDocument/2006/relationships/hyperlink" Target="https://esipa.cz/sbirka/sbsrv.dll/sb?DR=SB&amp;CP=1995s284" TargetMode="External"/><Relationship Id="rId15" Type="http://schemas.openxmlformats.org/officeDocument/2006/relationships/hyperlink" Target="https://esipa.cz/sbirka/sbsrv.dll/sb?DR=SB&amp;CP=1988s100" TargetMode="External"/><Relationship Id="rId16" Type="http://schemas.openxmlformats.org/officeDocument/2006/relationships/hyperlink" Target="https://esipa.cz/sbirka/sbsrv.dll/sb?DR=SB&amp;CP=2001s449" TargetMode="External"/><Relationship Id="rId17" Type="http://schemas.openxmlformats.org/officeDocument/2006/relationships/hyperlink" Target="https://esipa.cz/sbirka/sbsrv.dll/sb?DR=SB&amp;CP=2003s229" TargetMode="External"/><Relationship Id="rId18" Type="http://schemas.openxmlformats.org/officeDocument/2006/relationships/hyperlink" Target="https://esipa.cz/sbirka/sbsrv.dll/sb?DR=SB&amp;CP=1968s088" TargetMode="External"/><Relationship Id="rId19" Type="http://schemas.openxmlformats.org/officeDocument/2006/relationships/hyperlink" Target="https://esipa.cz/sbirka/sbsrv.dll/sb?DR=SB&amp;CP=2000s101" TargetMode="External"/><Relationship Id="rId20" Type="http://schemas.openxmlformats.org/officeDocument/2006/relationships/hyperlink" Target="https://esipa.cz/sbirka/sbsrv.dll/sb?DR=SB&amp;CP=2000s128" TargetMode="External"/><Relationship Id="rId21" Type="http://schemas.openxmlformats.org/officeDocument/2006/relationships/hyperlink" Target="https://esipa.cz/sbirka/sbsrv.dll/sb?DR=SB&amp;CP=1989s099" TargetMode="External"/><Relationship Id="rId22" Type="http://schemas.openxmlformats.org/officeDocument/2006/relationships/hyperlink" Target="https://esipa.cz/sbirka/sbsrv.dll/sb?DR=SB&amp;CP=1962s016" TargetMode="External"/><Relationship Id="rId23" Type="http://schemas.openxmlformats.org/officeDocument/2006/relationships/hyperlink" Target="https://esipa.cz/sbirka/sbsrv.dll/sb?DR=SB&amp;CP=1967s071" TargetMode="External"/><Relationship Id="rId24" Type="http://schemas.openxmlformats.org/officeDocument/2006/relationships/hyperlink" Target="https://esipa.cz/sbirka/sbsrv.dll/sb?DR=SB&amp;CP=1992s337" TargetMode="External"/><Relationship Id="rId25" Type="http://schemas.openxmlformats.org/officeDocument/2006/relationships/hyperlink" Target="https://esipa.cz/sbirka/sbsrv.dll/sb?DR=SB&amp;CP=1990s202" TargetMode="External"/><Relationship Id="rId26" Type="http://schemas.openxmlformats.org/officeDocument/2006/relationships/hyperlink" Target="https://esipa.cz/sbirka/sbsrv.dll/sb?DR=SB&amp;CP=1994s070" TargetMode="External"/><Relationship Id="rId27" Type="http://schemas.openxmlformats.org/officeDocument/2006/relationships/hyperlink" Target="https://esipa.cz/sbirka/sbsrv.dll/sb?DR=SB&amp;CP=1997s151" TargetMode="External"/><Relationship Id="rId28" Type="http://schemas.openxmlformats.org/officeDocument/2006/relationships/hyperlink" Target="https://esipa.cz/sbirka/sbsrv.dll/sb?DR=SB&amp;CP=2000s121" TargetMode="External"/><Relationship Id="rId29" Type="http://schemas.openxmlformats.org/officeDocument/2006/relationships/hyperlink" Target="https://esipa.cz/sbirka/sbsrv.dll/sb?DR=SB&amp;CP=1997s279" TargetMode="External"/><Relationship Id="rId30" Type="http://schemas.openxmlformats.org/officeDocument/2006/relationships/hyperlink" Target="https://esipa.cz/sbirka/sbsrv.dll/sb?DR=SB&amp;CP=1976s050" TargetMode="External"/><Relationship Id="rId31" Type="http://schemas.openxmlformats.org/officeDocument/2006/relationships/hyperlink" Target="https://esipa.cz/sbirka/sbsrv.dll/sb?DR=SB&amp;CP=2000s129" TargetMode="External"/><Relationship Id="rId32" Type="http://schemas.openxmlformats.org/officeDocument/2006/relationships/hyperlink" Target="https://esipa.cz/sbirka/sbsrv.dll/sb?DR=SB&amp;CP=1990s564" TargetMode="External"/><Relationship Id="rId33" Type="http://schemas.openxmlformats.org/officeDocument/2006/relationships/hyperlink" Target="https://esipa.cz/sbirka/sbsrv.dll/sb?DR=SB&amp;CP=2002s284" TargetMode="External"/><Relationship Id="rId34" Type="http://schemas.openxmlformats.org/officeDocument/2006/relationships/header" Target="header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229/2003 Sb. z 1. 1. 2004</dc:title>
  <dc:description>Zákon České národní rady o místních poplatcích</dc:description>
  <dc:subject/>
  <cp:keywords/>
  <cp:category/>
  <cp:lastModifiedBy/>
  <dcterms:created xsi:type="dcterms:W3CDTF">2004-01-01T00:00:00+01:00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