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/>
        <w:spacing w:after="0"/>
      </w:pPr>
      <w:r>
        <w:rPr>
          <w:color w:val="#999999"/>
          <w:sz w:val="20"/>
          <w:szCs w:val="20"/>
        </w:rPr>
        <w:t xml:space="preserve">Opraveno redakčním sdělením č. </w:t>
      </w:r>
      <w:hyperlink r:id="rId7" w:history="1">
        <w:r>
          <w:rPr>
            <w:color w:val="darkblue"/>
            <w:u w:val="single"/>
          </w:rPr>
          <w:t xml:space="preserve">rs6/1992/1 Sb.</w:t>
        </w:r>
      </w:hyperlink>
    </w:p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565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České národní rady</w:t>
      </w:r>
    </w:p>
    <w:p>
      <w:pPr>
        <w:jc w:val="center"/>
        <w:ind w:left="0" w:right="0"/>
        <w:spacing w:after="0"/>
      </w:pPr>
      <w:r>
        <w:rPr/>
        <w:t xml:space="preserve">ze dne 13. prosince 1990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místních poplatcích</w:t>
      </w:r>
    </w:p>
    <w:p/>
    <w:p>
      <w:pPr>
        <w:jc w:val="left"/>
        <w:ind w:left="0" w:right="0"/>
        <w:spacing w:after="0"/>
      </w:pPr>
      <w:r>
        <w:rPr/>
        <w:t xml:space="preserve">Česká národní rada se usnesla na tomto zákoně:</w:t>
      </w:r>
    </w:p>
    <w:p>
      <w:pPr>
        <w:spacing w:after="0"/>
      </w:pPr>
      <w:pPr>
        <w:rPr/>
      </w:pPr>
    </w:p>
    <w:p>
      <w:pPr/>
      <w:r>
        <w:pict>
          <v:shape id="_x0000_s1010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Obce mohou vybírat tyto místní poplatky (dále jen „poplatky“)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poplatek ze psů,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poplatek za lázeňský nebo rekreační pobyt,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poplatek za užívání veřejného prostranství,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poplatek z reklamních zařízení,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poplatek ze vstupného,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poplatek z ubytovací kapacity v rekreačních a vzdělávacích zařízeních,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dislokační poplatek,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poplatek z prodeje alkoholických nápojů a tabákových výrobků,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poplatek za povolení k vjezdu s motorovým vozidlem do vybraných míst a částí měst.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ze psů platí fyzická a právnická osoby, která je vlastníkem psa, obci příslušné podle místa svého trvalého pobytu.</w:t>
      </w:r>
      <w:r>
        <w:rPr>
          <w:vertAlign w:val="superscript"/>
        </w:rPr>
        <w:t xml:space="preserve">1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ze psů se platí ze psů starších 6 měsíců, vyjma psů užívaných k doprovázení nebo ochraně osob nevidomých, bezmocných a držitelů průkazu ZTP/P (zvlášť těžce postižený s průvodcem).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ze psů činí až 1000 Kčs ročně za jednoho psa. Sazba poplatku ze psa, jehož vlastníkem je poživatel invalidního, starobního a vdovského důchodu, který je jeho jediným zdrojem příjmu, činí až 200 Kčs ročně. U druhého a každého dalšího psa může obec horní hranici zvýšit až o 50 %.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lázeňský nebo rekreační pobyt platí fyzické osoby, které přechodně a za úplatu pobývají v lázeňských místech a v místech soustředěného turistického ruchu za účelem léčení nebo rekreace.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Poplatku za lázeňský nebo rekreační pobyt nepodléhají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osoby nevidomé, bezmocné a držitelé průkazu ZTP/P (zvlášť těžce postižený s průvodcem) a jejich průvodci,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osoby nemocné, kterým byla lázeňská péče poskytnuta v rámci pracovní neschopnosti, tj. na předvolání na účet státní zdravotní správy nebo na křížkový poukaz,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osoby, kterým byl poskytnut rekondiční pobyt podle zvláštních předpisů,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osoby mladší 18 let a starší 70 let nebo osoby, na které náležejí přídavky na děti (výchovné)</w:t>
      </w:r>
      <w:r>
        <w:rPr>
          <w:vertAlign w:val="superscript"/>
        </w:rPr>
        <w:t xml:space="preserve">4</w:t>
      </w:r>
      <w:r>
        <w:rPr/>
        <w:t xml:space="preserve">) anebo vojáci v základní službě a osoby, které vykonávají civilní službu.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Poplatek za lázeňský nebo rekreační pobyt ve stanovené výši vybírá pro obec fyzická nebo právnická osoba, která přechodné ubytování poskytla; tato osoba za poplatek ručí.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Sazba poplatku za lázeňský nebo rekreační pobyt činí až 15,- Kčs za osobu a za každý i započatý den pobytu, není-li tento dnem příchodu. Obec může po dohodě s poplatníkem stanovit poplatek také roční paušální částkou.</w:t>
      </w:r>
    </w:p>
    <w:p>
      <w:pPr>
        <w:pStyle w:val="Heading1"/>
      </w:pPr>
      <w:r>
        <w:rPr>
          <w:b/>
          <w:bCs/>
        </w:rPr>
        <w:t xml:space="preserve">§ 4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užívání veřejného prostranství se vybírá za zvláštní užívání veřejného prostranství, kterým se rozumí umístění zařízení sloužících k poskytování služeb, umístění stavebních, prodejních nebo reklamních zařízení, zařízení cirkusů, lunaparků a jiných obdobných atrakcí, umístění skládek, vyhrazení trvalého parkovacího místa a užívání tohoto prostranství pro kulturní a sportovní akce a potřeby tvorby filmových a televizních děl. Z akcí pořádaných na veřejném prostranství bez vstupného, nebo jejichž výtěžek je určen na charitativní a veřejné účely, se poplatek neplatí.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Veřejným prostranstvím podle tohoto zákona jsou zejména náměstí, tržiště, silnice, místní komunikace.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Poplatek za užívání veřejného prostranství platí fyzické i právnické osoby, které užívají veřejné prostranství způsobem uvedeným v odstavci 1.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Poplatku za užívání veřejného prostranství spočívajícího ve vyhrazení trvalého parkovacího místa nepodléhají osoby invalidní.</w:t>
      </w:r>
      <w:r>
        <w:rPr>
          <w:vertAlign w:val="superscript"/>
        </w:rPr>
        <w:t xml:space="preserve">5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Sazba poplatku za užívání veřejného prostranství činí až 10,- Kčs na 1 m</w:t>
      </w:r>
      <w:r>
        <w:rPr>
          <w:vertAlign w:val="superscript"/>
        </w:rPr>
        <w:t xml:space="preserve">2</w:t>
      </w:r>
      <w:r>
        <w:rPr/>
        <w:t xml:space="preserve"> užívaného veřejného prostranství a den. Za užívání veřejného prostranství k umístění prodejních nebo reklamních zařízení, zařízení cirkusů, lunaparků a jiných atrakcí může obec zvýšit sazbu až na její desetinásobek. Obec může stanovit poplatek týdenní, měsíční nebo roční paušální částkou.</w:t>
      </w:r>
    </w:p>
    <w:p>
      <w:pPr>
        <w:pStyle w:val="Heading1"/>
      </w:pPr>
      <w:r>
        <w:rPr>
          <w:b/>
          <w:bCs/>
        </w:rPr>
        <w:t xml:space="preserve">§ 5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reklamních zařízení se vybírá za písemná, obrazová, světelná a zvuková oznámení umístěná či provozovaná na veřejných prostranstvích, ve veřejně přístupných místnostech a ve veřejných hromadných dopravních prostředcích. Za reklamní zařízení se pro tento účel nepovažují zejména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písemná a obrazová označení vlastního podniku či provozovny umístěná na objektech, ve kterých fyzická či právnická osoba provozuje svou označovanou činnost,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umístění a provozování vlastních reklamních zařízení uvnitř těchto objektů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umístění a provozování reklamních zařízení politických a volebních stran</w:t>
      </w:r>
      <w:r>
        <w:rPr>
          <w:vertAlign w:val="superscript"/>
        </w:rPr>
        <w:t xml:space="preserve">6</w:t>
      </w:r>
      <w:r>
        <w:rPr/>
        <w:t xml:space="preserve">) po dobu volební kampaně.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 reklamních zařízení platí fyzická nebo právnická osoba, která oznámení uvedená v odstavci 1 umístila nebo provozuje.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 reklamních zařízení činí až 5 % ceny za provádění reklamy; je-li reklama prováděna bez úplaty nebo nelze-li prokázat její cenu, je základem pro stanovení poplatku cena v místě obvyklá.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Poplatek se neplatí z reklamních zařízení sledujících charitativní a jiné humanitární cíle.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Poplatek z reklamních zařízení lze vybrat i vedle poplatku podle § 4.</w:t>
      </w:r>
    </w:p>
    <w:p>
      <w:pPr>
        <w:pStyle w:val="Heading1"/>
      </w:pPr>
      <w:r>
        <w:rPr>
          <w:b/>
          <w:bCs/>
        </w:rPr>
        <w:t xml:space="preserve">§ 6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ze vstupného se vybírá ze vstupného na kulturní, sportovní a prodejní akce a akce obdobného charakteru. Z akcí, jejichž celý výtěžek je určen na charitativní a veřejně prospěšné účely, se poplatek neplatí.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ze vstupného platí fyzické a právnické osoby, které akci pořádají.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ze vstupného činí až 30 % z úhrnné částky vybraného vstupného. Obec může po dohodě s poplatníkem poplatek stanovit také roční paušální částkou.</w:t>
      </w:r>
    </w:p>
    <w:p>
      <w:pPr>
        <w:pStyle w:val="Heading1"/>
      </w:pPr>
      <w:r>
        <w:rPr>
          <w:b/>
          <w:bCs/>
        </w:rPr>
        <w:t xml:space="preserve">§ 7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ubytovací kapacity v rekreačních a vzdělávacích zařízeních platí právnické osoby, které zařízení vlastní nebo které k němu mají právo hospodaření, a fyzické osoby, které podnikají podle zvláštních předpisů.</w:t>
      </w:r>
      <w:r>
        <w:rPr>
          <w:vertAlign w:val="superscript"/>
        </w:rPr>
        <w:t xml:space="preserve">7</w:t>
      </w:r>
      <w:r>
        <w:rPr/>
        <w:t xml:space="preserve">) Fyzické osoby tento poplatek neplatí, pokud platí poplatek dislokační.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Sazba poplatku z ubytovací kapacity v rekreačních a vzdělávacích zařízeních činí až 2,- Kčs za každé lůžko a den bez ohledu na jeho využití.</w:t>
      </w:r>
    </w:p>
    <w:p>
      <w:pPr>
        <w:pStyle w:val="Heading1"/>
      </w:pPr>
      <w:r>
        <w:rPr>
          <w:b/>
          <w:bCs/>
        </w:rPr>
        <w:t xml:space="preserve">§ 8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Dislokační poplatek se platí za umístění kanceláří, provozoven, skladů a dalších zařízení sloužících k podnikatelské nebo jiné výdělečné činnosti v územním obvodu obce. Poplatek se neplatí za umístění zařízení pro základní činnost spojů a železniční dopravu.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platí fyzické a právnické osoby podnikající nebo provozující jinou výdělečnou činnost podle zvláštních předpisů.</w:t>
      </w:r>
      <w:r>
        <w:rPr>
          <w:vertAlign w:val="superscript"/>
        </w:rPr>
        <w:t xml:space="preserve">8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Fyzické osoby podnikající podle zvláštních předpisů</w:t>
      </w:r>
      <w:r>
        <w:rPr>
          <w:vertAlign w:val="superscript"/>
        </w:rPr>
        <w:t xml:space="preserve">9</w:t>
      </w:r>
      <w:r>
        <w:rPr/>
        <w:t xml:space="preserve">) jsou od poplatku osvobozeny po dobu pěti let od vzniku poplatkové povinnosti.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Sazba poplatku činí až 10 % ročně z částky rovnající se úhradě za užívání prostor uvedených v odstavci 1, která je stanovena v obci.</w:t>
      </w:r>
      <w:r>
        <w:rPr>
          <w:vertAlign w:val="superscript"/>
        </w:rPr>
        <w:t xml:space="preserve">10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Poplatek se nevybere, pokud bude za užívání prostor uvedených v odstavci 1 vybírán poplatek za užívání veřejného prostranství.</w:t>
      </w:r>
    </w:p>
    <w:p>
      <w:pPr>
        <w:pStyle w:val="Heading1"/>
      </w:pPr>
      <w:r>
        <w:rPr>
          <w:b/>
          <w:bCs/>
        </w:rPr>
        <w:t xml:space="preserve">§ 9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prodeje alkoholických nápojů a tabákových výrobků platí fyzické a právnické osoby provozující restaurační, kavárenské, ubytovací nebo jiné pohostinské služby, ve kterých se prodávají alkoholické nápoje</w:t>
      </w:r>
      <w:r>
        <w:rPr>
          <w:vertAlign w:val="superscript"/>
        </w:rPr>
        <w:t xml:space="preserve">11</w:t>
      </w:r>
      <w:r>
        <w:rPr/>
        <w:t xml:space="preserve">) a tabákové výrobky.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Sazba poplatku činí až 10 % z prodejní ceny těchto výrobků.</w:t>
      </w:r>
    </w:p>
    <w:p>
      <w:pPr>
        <w:pStyle w:val="Heading1"/>
      </w:pPr>
      <w:r>
        <w:rPr>
          <w:b/>
          <w:bCs/>
        </w:rPr>
        <w:t xml:space="preserve">§ 10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povolení k vjezdu s motorovým vozidlem</w:t>
      </w:r>
      <w:r>
        <w:rPr>
          <w:vertAlign w:val="superscript"/>
        </w:rPr>
        <w:t xml:space="preserve">12</w:t>
      </w:r>
      <w:r>
        <w:rPr/>
        <w:t xml:space="preserve">) do vybraných míst a částí měst (dále jen „vybraná místa“) platí fyzická nebo právnická osoba, které bylo vydáno povolení k vjezdu s motorovým vozidlem do vybraných míst. Poplatek neplatí fyzické osoby mající trvalý pobyt nebo vlastnící nemovitosti ve vybraném místě, osoby jim blízké,</w:t>
      </w:r>
      <w:r>
        <w:rPr>
          <w:vertAlign w:val="superscript"/>
        </w:rPr>
        <w:t xml:space="preserve">13</w:t>
      </w:r>
      <w:r>
        <w:rPr/>
        <w:t xml:space="preserve">) manželé těchto osob a jejich děti. Dále osoby, které ve vybraném místě užívají nemovitost ke své hospodářské činnosti nebo osoby, které jsou držiteli průkazu ZTP a jejich průvodci.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se vybírá za vydání povolení k vjezdu s motorovým vozidlem do vybraných míst, do kterých je jinak vjezd zakázán příslušnou dopravní značkou.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za povolení k vjezdu s motorovým vozidlem do vybraných míst činí až 20 Kčs za den. Obec může po dohodě s poplatníkem stanovit poplatek také paušální částkou.</w:t>
      </w:r>
    </w:p>
    <w:p>
      <w:pPr>
        <w:pStyle w:val="Heading1"/>
      </w:pPr>
      <w:r>
        <w:rPr>
          <w:b/>
          <w:bCs/>
        </w:rPr>
        <w:t xml:space="preserve">§ 11</w:t>
      </w:r>
    </w:p>
    <w:p>
      <w:pPr>
        <w:ind w:left="0" w:right="0"/>
      </w:pPr>
      <w:r>
        <w:rPr/>
        <w:t xml:space="preserve">Nebudou-li poplatky zaplaceny (odvedeny) včas nebo ve správné výši, vyměří obec poplatek platebním výměrem a může zvýšit včas nezaplacené (neodvedené) poplatky až o 50 %. Vyměřené poplatky se zaokrouhlují na celé koruny nahoru.</w:t>
      </w:r>
    </w:p>
    <w:p>
      <w:pPr>
        <w:pStyle w:val="Heading1"/>
      </w:pPr>
      <w:r>
        <w:rPr>
          <w:b/>
          <w:bCs/>
        </w:rPr>
        <w:t xml:space="preserve">§ 12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Poplatky nelze vyměřit ani vymáhat po uplynutí tří let od konce kalendářního roku, ve kterém se obec dověděla o skutečnosti, která je předmětem poplatků.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Od konce kalendářního roku, ve kterém se poplatník od obce dověděl o úkonu provedeném k vyměření nebo vymáhání poplatků, běží nová tříletá lhůta.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Poplatky nelze vyměřit ani vymáhat, uplynulo-li od konce kalendářního roku, v němž nastala skutečnost, která je předmětem poplatku, 10 let.</w:t>
      </w:r>
    </w:p>
    <w:p>
      <w:pPr>
        <w:pStyle w:val="Heading1"/>
      </w:pPr>
      <w:r>
        <w:rPr>
          <w:b/>
          <w:bCs/>
        </w:rPr>
        <w:t xml:space="preserve">§ 13</w:t>
      </w:r>
    </w:p>
    <w:p>
      <w:pPr>
        <w:ind w:left="0" w:right="0"/>
      </w:pPr>
      <w:r>
        <w:rPr/>
        <w:t xml:space="preserve">O řízení ve věcech poplatků platí zvláštní předpisy.</w:t>
      </w:r>
      <w:r>
        <w:rPr>
          <w:vertAlign w:val="superscript"/>
        </w:rPr>
        <w:t xml:space="preserve">14</w:t>
      </w:r>
      <w:r>
        <w:rPr/>
        <w:t xml:space="preserve">)</w:t>
      </w:r>
    </w:p>
    <w:p>
      <w:pPr>
        <w:pStyle w:val="Heading1"/>
      </w:pPr>
      <w:r>
        <w:rPr>
          <w:b/>
          <w:bCs/>
        </w:rPr>
        <w:t xml:space="preserve">§ 14</w:t>
      </w:r>
    </w:p>
    <w:p>
      <w:pPr>
        <w:ind w:left="0" w:right="0"/>
      </w:pPr>
      <w:r>
        <w:rPr/>
        <w:t xml:space="preserve">Správu poplatků vykonává obec, která je ve svém územním obvodu zavedla.</w:t>
      </w:r>
    </w:p>
    <w:p>
      <w:pPr>
        <w:pStyle w:val="Heading1"/>
      </w:pPr>
      <w:r>
        <w:rPr>
          <w:b/>
          <w:bCs/>
        </w:rPr>
        <w:t xml:space="preserve">§ 15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Zavedení poplatků stanoví obec obecně závaznou vyhláškou, ve které upraví podrobnosti jejich vybírání, zejména stanoví konkrétní sazbu poplatku, ohlašovací povinnost ke vzniku poplatkové povinnosti, splatnost, úlevy a případné osvobození od poplatků. U poplatku za užívání veřejného prostranství určí místa, která jsou v obci veřejným prostranstvím.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Obec vykonávající správu poplatku z prodeje alkoholických nápojů a tabákových výrobků nařídí vhodnou průkaznou evidenci příjmů z prodeje těchto výrobků.</w:t>
      </w:r>
    </w:p>
    <w:p>
      <w:pPr>
        <w:pStyle w:val="Heading1"/>
      </w:pPr>
      <w:r>
        <w:rPr>
          <w:b/>
          <w:bCs/>
        </w:rPr>
        <w:t xml:space="preserve">§ 16</w:t>
      </w:r>
    </w:p>
    <w:p>
      <w:pPr>
        <w:ind w:left="0" w:right="0"/>
      </w:pPr>
      <w:r>
        <w:rPr/>
        <w:t xml:space="preserve">Obec, která poplatky spravuje, může ke zmírnění nebo odstranění tvrdosti v jednotlivých případech poplatky snížit nebo prominout.</w:t>
      </w:r>
    </w:p>
    <w:p>
      <w:pPr>
        <w:pStyle w:val="Heading1"/>
      </w:pPr>
      <w:r>
        <w:rPr>
          <w:b/>
          <w:bCs/>
        </w:rPr>
        <w:t xml:space="preserve">§ 17</w:t>
      </w:r>
    </w:p>
    <w:p>
      <w:pPr>
        <w:ind w:left="0" w:right="0"/>
      </w:pPr>
      <w:r>
        <w:rPr/>
        <w:t xml:space="preserve">Zrušují se: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 území České republiky zákon č. </w:t>
      </w:r>
      <w:hyperlink r:id="rId8" w:history="1">
        <w:r>
          <w:rPr>
            <w:color w:val="darkblue"/>
            <w:u w:val="single"/>
          </w:rPr>
          <w:t xml:space="preserve">82/1952 Sb.</w:t>
        </w:r>
      </w:hyperlink>
      <w:r>
        <w:rPr/>
        <w:t xml:space="preserve">, o místních poplatcích.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Pro území České republiky vyhláška ministerstva financí č. </w:t>
      </w:r>
      <w:hyperlink r:id="rId9" w:history="1">
        <w:r>
          <w:rPr>
            <w:color w:val="darkblue"/>
            <w:u w:val="single"/>
          </w:rPr>
          <w:t xml:space="preserve">67/1966 Sb.</w:t>
        </w:r>
      </w:hyperlink>
      <w:r>
        <w:rPr/>
        <w:t xml:space="preserve">, o místních poplatcích.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Vyhláška ministerstva financí, cen a mezd České socialistické republiky č. </w:t>
      </w:r>
      <w:hyperlink r:id="rId10" w:history="1">
        <w:r>
          <w:rPr>
            <w:color w:val="darkblue"/>
            <w:u w:val="single"/>
          </w:rPr>
          <w:t xml:space="preserve">216/1988 Sb.</w:t>
        </w:r>
      </w:hyperlink>
      <w:r>
        <w:rPr/>
        <w:t xml:space="preserve">, o místním poplatku ze psů a o lázeňském poplatku.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Vyhláška ministerstva financí, cen a mezd České socialistické republiky č. </w:t>
      </w:r>
      <w:hyperlink r:id="rId11" w:history="1">
        <w:r>
          <w:rPr>
            <w:color w:val="darkblue"/>
            <w:u w:val="single"/>
          </w:rPr>
          <w:t xml:space="preserve">7/1989 Sb.</w:t>
        </w:r>
      </w:hyperlink>
      <w:r>
        <w:rPr/>
        <w:t xml:space="preserve">, o některých místních poplatcích vybíraných v Krkonošském národním parku.</w:t>
      </w:r>
    </w:p>
    <w:p>
      <w:pPr>
        <w:pStyle w:val="Heading1"/>
      </w:pPr>
      <w:r>
        <w:rPr>
          <w:b/>
          <w:bCs/>
        </w:rPr>
        <w:t xml:space="preserve">§ 18</w:t>
      </w:r>
    </w:p>
    <w:p>
      <w:pPr>
        <w:ind w:left="0" w:right="0"/>
      </w:pPr>
      <w:r>
        <w:rPr/>
        <w:t xml:space="preserve">Tento zákon nabývá účinnosti dnem 1. ledna 1991.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Burešová</w:t>
      </w:r>
      <w:r>
        <w:rPr/>
        <w:t xml:space="preserve"> v. 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Pithart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09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2" w:history="1">
        <w:r>
          <w:rPr>
            <w:color w:val="darkblue"/>
            <w:u w:val="single"/>
          </w:rPr>
          <w:t xml:space="preserve">135/1992 Sb.</w:t>
        </w:r>
      </w:hyperlink>
      <w:r>
        <w:rPr>
          <w:sz w:val="19.200000000000003"/>
          <w:szCs w:val="19.200000000000003"/>
        </w:rPr>
        <w:t xml:space="preserve">, o hlášení a evidenci pobytu občanů.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ministerstva zdravotnictví České republiky č. </w:t>
      </w:r>
      <w:hyperlink r:id="rId13" w:history="1">
        <w:r>
          <w:rPr>
            <w:color w:val="darkblue"/>
            <w:u w:val="single"/>
          </w:rPr>
          <w:t xml:space="preserve">463/1990 Sb.</w:t>
        </w:r>
      </w:hyperlink>
      <w:r>
        <w:rPr>
          <w:sz w:val="19.200000000000003"/>
          <w:szCs w:val="19.200000000000003"/>
        </w:rPr>
        <w:t xml:space="preserve">, o poskytování lázeňské péče ve státních léčebných lázních.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135 odst. 4 zákoníku práce.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18 zákona č. </w:t>
      </w:r>
      <w:hyperlink r:id="rId14" w:history="1">
        <w:r>
          <w:rPr>
            <w:color w:val="darkblue"/>
            <w:u w:val="single"/>
          </w:rPr>
          <w:t xml:space="preserve">88/1968 Sb.</w:t>
        </w:r>
      </w:hyperlink>
      <w:r>
        <w:rPr>
          <w:sz w:val="19.200000000000003"/>
          <w:szCs w:val="19.200000000000003"/>
        </w:rPr>
        <w:t xml:space="preserve">, o nemocenském pojištění,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§ 71 zákona č. </w:t>
      </w:r>
      <w:hyperlink r:id="rId15" w:history="1">
        <w:r>
          <w:rPr>
            <w:color w:val="darkblue"/>
            <w:u w:val="single"/>
          </w:rPr>
          <w:t xml:space="preserve">100/1988 Sb.</w:t>
        </w:r>
      </w:hyperlink>
      <w:r>
        <w:rPr>
          <w:sz w:val="19.200000000000003"/>
          <w:szCs w:val="19.200000000000003"/>
        </w:rPr>
        <w:t xml:space="preserve">, o sociálním zabezpečení,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5" w:history="1">
        <w:r>
          <w:rPr>
            <w:color w:val="darkblue"/>
            <w:u w:val="single"/>
          </w:rPr>
          <w:t xml:space="preserve">100/1988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6" w:history="1">
        <w:r>
          <w:rPr>
            <w:color w:val="darkblue"/>
            <w:u w:val="single"/>
          </w:rPr>
          <w:t xml:space="preserve">15/1990 Sb.</w:t>
        </w:r>
      </w:hyperlink>
      <w:r>
        <w:rPr>
          <w:sz w:val="19.200000000000003"/>
          <w:szCs w:val="19.200000000000003"/>
        </w:rPr>
        <w:t xml:space="preserve">, o politických stranách.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§ 18 zákona č. </w:t>
      </w:r>
      <w:hyperlink r:id="rId17" w:history="1">
        <w:r>
          <w:rPr>
            <w:color w:val="darkblue"/>
            <w:u w:val="single"/>
          </w:rPr>
          <w:t xml:space="preserve">368/1990 Sb.</w:t>
        </w:r>
      </w:hyperlink>
      <w:r>
        <w:rPr>
          <w:sz w:val="19.200000000000003"/>
          <w:szCs w:val="19.200000000000003"/>
        </w:rPr>
        <w:t xml:space="preserve">, o volbách do zastupitelstev v obcích.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o soukromém podnikání občanů.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r>
        <w:rPr>
          <w:sz w:val="19.200000000000003"/>
          <w:szCs w:val="19.200000000000003"/>
        </w:rPr>
        <w:t xml:space="preserve">Např. zákon č. </w:t>
      </w:r>
      <w:hyperlink r:id="rId19" w:history="1">
        <w:r>
          <w:rPr>
            <w:color w:val="darkblue"/>
            <w:u w:val="single"/>
          </w:rPr>
          <w:t xml:space="preserve">111/1990 Sb.</w:t>
        </w:r>
      </w:hyperlink>
      <w:r>
        <w:rPr>
          <w:sz w:val="19.200000000000003"/>
          <w:szCs w:val="19.200000000000003"/>
        </w:rPr>
        <w:t xml:space="preserve">, o státním podniku, 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o soukromém podnikání občanů, zákon č. </w:t>
      </w:r>
      <w:hyperlink r:id="rId20" w:history="1">
        <w:r>
          <w:rPr>
            <w:color w:val="darkblue"/>
            <w:u w:val="single"/>
          </w:rPr>
          <w:t xml:space="preserve">162/1990 Sb.</w:t>
        </w:r>
      </w:hyperlink>
      <w:r>
        <w:rPr>
          <w:sz w:val="19.200000000000003"/>
          <w:szCs w:val="19.200000000000003"/>
        </w:rPr>
        <w:t xml:space="preserve">, o zemědělském družstevnictví, zákon č. </w:t>
      </w:r>
      <w:hyperlink r:id="rId21" w:history="1">
        <w:r>
          <w:rPr>
            <w:color w:val="darkblue"/>
            <w:u w:val="single"/>
          </w:rPr>
          <w:t xml:space="preserve">176/1990 Sb.</w:t>
        </w:r>
      </w:hyperlink>
      <w:r>
        <w:rPr>
          <w:sz w:val="19.200000000000003"/>
          <w:szCs w:val="19.200000000000003"/>
        </w:rPr>
        <w:t xml:space="preserve">, o bytovém, spotřebním a výrobním družstevnictví, ve znění pozdějších předpisů, zákon č. </w:t>
      </w:r>
      <w:hyperlink r:id="rId22" w:history="1">
        <w:r>
          <w:rPr>
            <w:color w:val="darkblue"/>
            <w:u w:val="single"/>
          </w:rPr>
          <w:t xml:space="preserve">104/1990 Sb.</w:t>
        </w:r>
      </w:hyperlink>
      <w:r>
        <w:rPr>
          <w:sz w:val="19.200000000000003"/>
          <w:szCs w:val="19.200000000000003"/>
        </w:rPr>
        <w:t xml:space="preserve">, o akciových společnostech, zákon č. </w:t>
      </w:r>
      <w:hyperlink r:id="rId23" w:history="1">
        <w:r>
          <w:rPr>
            <w:color w:val="darkblue"/>
            <w:u w:val="single"/>
          </w:rPr>
          <w:t xml:space="preserve">173/1988 Sb.</w:t>
        </w:r>
      </w:hyperlink>
      <w:r>
        <w:rPr>
          <w:sz w:val="19.200000000000003"/>
          <w:szCs w:val="19.200000000000003"/>
        </w:rPr>
        <w:t xml:space="preserve">, o podniku se zahraniční majetkovou účastí, ve znění zákona č. </w:t>
      </w:r>
      <w:hyperlink r:id="rId24" w:history="1">
        <w:r>
          <w:rPr>
            <w:color w:val="darkblue"/>
            <w:u w:val="single"/>
          </w:rPr>
          <w:t xml:space="preserve">112/1990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5" w:history="1">
        <w:r>
          <w:rPr>
            <w:color w:val="darkblue"/>
            <w:u w:val="single"/>
          </w:rPr>
          <w:t xml:space="preserve">128/1990 Sb.</w:t>
        </w:r>
      </w:hyperlink>
      <w:r>
        <w:rPr>
          <w:sz w:val="19.200000000000003"/>
          <w:szCs w:val="19.200000000000003"/>
        </w:rPr>
        <w:t xml:space="preserve">, o advokacii, zákon ČNR č. </w:t>
      </w:r>
      <w:hyperlink r:id="rId26" w:history="1">
        <w:r>
          <w:rPr>
            <w:color w:val="darkblue"/>
            <w:u w:val="single"/>
          </w:rPr>
          <w:t xml:space="preserve">209/1990 Sb.</w:t>
        </w:r>
      </w:hyperlink>
      <w:r>
        <w:rPr>
          <w:sz w:val="19.200000000000003"/>
          <w:szCs w:val="19.200000000000003"/>
        </w:rPr>
        <w:t xml:space="preserve">, o komerčních právnících a právní pomoci jimi poskytované.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r>
        <w:rPr>
          <w:sz w:val="19.200000000000003"/>
          <w:szCs w:val="19.200000000000003"/>
        </w:rPr>
        <w:t xml:space="preserve">Např. 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5" w:history="1">
        <w:r>
          <w:rPr>
            <w:color w:val="darkblue"/>
            <w:u w:val="single"/>
          </w:rPr>
          <w:t xml:space="preserve">128/1990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6" w:history="1">
        <w:r>
          <w:rPr>
            <w:color w:val="darkblue"/>
            <w:u w:val="single"/>
          </w:rPr>
          <w:t xml:space="preserve">209/1990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Federálního cenového úřadu, ministerstva financí, cen a mezd České republiky a ministerstva financí, cen a mezd Slovenské republiky č. </w:t>
      </w:r>
      <w:hyperlink r:id="rId27" w:history="1">
        <w:r>
          <w:rPr>
            <w:color w:val="darkblue"/>
            <w:u w:val="single"/>
          </w:rPr>
          <w:t xml:space="preserve">170/1990 Sb.</w:t>
        </w:r>
      </w:hyperlink>
      <w:r>
        <w:rPr>
          <w:sz w:val="19.200000000000003"/>
          <w:szCs w:val="19.200000000000003"/>
        </w:rPr>
        <w:t xml:space="preserve">, kterou se mění a doplňuje vyhláška č. </w:t>
      </w:r>
      <w:hyperlink r:id="rId28" w:history="1">
        <w:r>
          <w:rPr>
            <w:color w:val="darkblue"/>
            <w:u w:val="single"/>
          </w:rPr>
          <w:t xml:space="preserve">35/1990 Sb.</w:t>
        </w:r>
      </w:hyperlink>
      <w:r>
        <w:rPr>
          <w:sz w:val="19.200000000000003"/>
          <w:szCs w:val="19.200000000000003"/>
        </w:rPr>
        <w:t xml:space="preserve">, o smluvních cenách.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 odst. 2 zákona ČNR č. </w:t>
      </w:r>
      <w:hyperlink r:id="rId29" w:history="1">
        <w:r>
          <w:rPr>
            <w:color w:val="darkblue"/>
            <w:u w:val="single"/>
          </w:rPr>
          <w:t xml:space="preserve">37/1989 Sb.</w:t>
        </w:r>
      </w:hyperlink>
      <w:r>
        <w:rPr>
          <w:sz w:val="19.200000000000003"/>
          <w:szCs w:val="19.200000000000003"/>
        </w:rPr>
        <w:t xml:space="preserve">, o ochraně před alkoholismem a jinými toxikomániemi.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2 bod 12 vyhlášky federálního ministerstva vnitra č. </w:t>
      </w:r>
      <w:hyperlink r:id="rId30" w:history="1">
        <w:r>
          <w:rPr>
            <w:color w:val="darkblue"/>
            <w:u w:val="single"/>
          </w:rPr>
          <w:t xml:space="preserve">99/1989 Sb.</w:t>
        </w:r>
      </w:hyperlink>
      <w:r>
        <w:rPr>
          <w:sz w:val="19.200000000000003"/>
          <w:szCs w:val="19.200000000000003"/>
        </w:rPr>
        <w:t xml:space="preserve">, o pravidlech provozu na pozemních komunikacích (pravidla silničního provozu).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116 občanského zákoníku.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ministerstva financí č. </w:t>
      </w:r>
      <w:hyperlink r:id="rId31" w:history="1">
        <w:r>
          <w:rPr>
            <w:color w:val="darkblue"/>
            <w:u w:val="single"/>
          </w:rPr>
          <w:t xml:space="preserve">16/1962 Sb.</w:t>
        </w:r>
      </w:hyperlink>
      <w:r>
        <w:rPr>
          <w:sz w:val="19.200000000000003"/>
          <w:szCs w:val="19.200000000000003"/>
        </w:rPr>
        <w:t xml:space="preserve">, o řízení ve věcech daní a poplatků.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71/1967 Sb.</w:t>
        </w:r>
      </w:hyperlink>
      <w:r>
        <w:rPr>
          <w:sz w:val="19.200000000000003"/>
          <w:szCs w:val="19.200000000000003"/>
        </w:rPr>
        <w:t xml:space="preserve">, o správním řízení</w:t>
      </w:r>
    </w:p>
    <w:sectPr>
      <w:headerReference w:type="default" r:id="rId33"/>
      <w:footerReference w:type="default" r:id="rId3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565/1990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2r0061" TargetMode="External"/><Relationship Id="rId8" Type="http://schemas.openxmlformats.org/officeDocument/2006/relationships/hyperlink" Target="https://esipa.cz/sbirka/sbsrv.dll/sb?DR=SB&amp;CP=1952s082" TargetMode="External"/><Relationship Id="rId9" Type="http://schemas.openxmlformats.org/officeDocument/2006/relationships/hyperlink" Target="https://esipa.cz/sbirka/sbsrv.dll/sb?DR=SB&amp;CP=1966s067" TargetMode="External"/><Relationship Id="rId10" Type="http://schemas.openxmlformats.org/officeDocument/2006/relationships/hyperlink" Target="https://esipa.cz/sbirka/sbsrv.dll/sb?DR=SB&amp;CP=1988s216" TargetMode="External"/><Relationship Id="rId11" Type="http://schemas.openxmlformats.org/officeDocument/2006/relationships/hyperlink" Target="https://esipa.cz/sbirka/sbsrv.dll/sb?DR=SB&amp;CP=1989s007" TargetMode="External"/><Relationship Id="rId12" Type="http://schemas.openxmlformats.org/officeDocument/2006/relationships/hyperlink" Target="https://esipa.cz/sbirka/sbsrv.dll/sb?DR=SB&amp;CP=1992s135" TargetMode="External"/><Relationship Id="rId13" Type="http://schemas.openxmlformats.org/officeDocument/2006/relationships/hyperlink" Target="https://esipa.cz/sbirka/sbsrv.dll/sb?DR=SB&amp;CP=1990s463" TargetMode="External"/><Relationship Id="rId14" Type="http://schemas.openxmlformats.org/officeDocument/2006/relationships/hyperlink" Target="https://esipa.cz/sbirka/sbsrv.dll/sb?DR=SB&amp;CP=1968s088" TargetMode="External"/><Relationship Id="rId15" Type="http://schemas.openxmlformats.org/officeDocument/2006/relationships/hyperlink" Target="https://esipa.cz/sbirka/sbsrv.dll/sb?DR=SB&amp;CP=1988s100" TargetMode="External"/><Relationship Id="rId16" Type="http://schemas.openxmlformats.org/officeDocument/2006/relationships/hyperlink" Target="https://esipa.cz/sbirka/sbsrv.dll/sb?DR=SB&amp;CP=1990s015" TargetMode="External"/><Relationship Id="rId17" Type="http://schemas.openxmlformats.org/officeDocument/2006/relationships/hyperlink" Target="https://esipa.cz/sbirka/sbsrv.dll/sb?DR=SB&amp;CP=1990s368" TargetMode="External"/><Relationship Id="rId18" Type="http://schemas.openxmlformats.org/officeDocument/2006/relationships/hyperlink" Target="https://esipa.cz/sbirka/sbsrv.dll/sb?DR=SB&amp;CP=1990s105" TargetMode="External"/><Relationship Id="rId19" Type="http://schemas.openxmlformats.org/officeDocument/2006/relationships/hyperlink" Target="https://esipa.cz/sbirka/sbsrv.dll/sb?DR=SB&amp;CP=1990s111" TargetMode="External"/><Relationship Id="rId20" Type="http://schemas.openxmlformats.org/officeDocument/2006/relationships/hyperlink" Target="https://esipa.cz/sbirka/sbsrv.dll/sb?DR=SB&amp;CP=1990s162" TargetMode="External"/><Relationship Id="rId21" Type="http://schemas.openxmlformats.org/officeDocument/2006/relationships/hyperlink" Target="https://esipa.cz/sbirka/sbsrv.dll/sb?DR=SB&amp;CP=1990s176" TargetMode="External"/><Relationship Id="rId22" Type="http://schemas.openxmlformats.org/officeDocument/2006/relationships/hyperlink" Target="https://esipa.cz/sbirka/sbsrv.dll/sb?DR=SB&amp;CP=1990s104" TargetMode="External"/><Relationship Id="rId23" Type="http://schemas.openxmlformats.org/officeDocument/2006/relationships/hyperlink" Target="https://esipa.cz/sbirka/sbsrv.dll/sb?DR=SB&amp;CP=1988s173" TargetMode="External"/><Relationship Id="rId24" Type="http://schemas.openxmlformats.org/officeDocument/2006/relationships/hyperlink" Target="https://esipa.cz/sbirka/sbsrv.dll/sb?DR=SB&amp;CP=1990s112" TargetMode="External"/><Relationship Id="rId25" Type="http://schemas.openxmlformats.org/officeDocument/2006/relationships/hyperlink" Target="https://esipa.cz/sbirka/sbsrv.dll/sb?DR=SB&amp;CP=1990s128" TargetMode="External"/><Relationship Id="rId26" Type="http://schemas.openxmlformats.org/officeDocument/2006/relationships/hyperlink" Target="https://esipa.cz/sbirka/sbsrv.dll/sb?DR=SB&amp;CP=1990s209" TargetMode="External"/><Relationship Id="rId27" Type="http://schemas.openxmlformats.org/officeDocument/2006/relationships/hyperlink" Target="https://esipa.cz/sbirka/sbsrv.dll/sb?DR=SB&amp;CP=1990s170" TargetMode="External"/><Relationship Id="rId28" Type="http://schemas.openxmlformats.org/officeDocument/2006/relationships/hyperlink" Target="https://esipa.cz/sbirka/sbsrv.dll/sb?DR=SB&amp;CP=1990s035" TargetMode="External"/><Relationship Id="rId29" Type="http://schemas.openxmlformats.org/officeDocument/2006/relationships/hyperlink" Target="https://esipa.cz/sbirka/sbsrv.dll/sb?DR=SB&amp;CP=1989s037" TargetMode="External"/><Relationship Id="rId30" Type="http://schemas.openxmlformats.org/officeDocument/2006/relationships/hyperlink" Target="https://esipa.cz/sbirka/sbsrv.dll/sb?DR=SB&amp;CP=1989s099" TargetMode="External"/><Relationship Id="rId31" Type="http://schemas.openxmlformats.org/officeDocument/2006/relationships/hyperlink" Target="https://esipa.cz/sbirka/sbsrv.dll/sb?DR=SB&amp;CP=1962s016" TargetMode="External"/><Relationship Id="rId32" Type="http://schemas.openxmlformats.org/officeDocument/2006/relationships/hyperlink" Target="https://esipa.cz/sbirka/sbsrv.dll/sb?DR=SB&amp;CP=1967s071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565/1990 Sb. - původní znění</dc:title>
  <dc:description>Zákon České národní rady o místních poplatcích</dc:description>
  <dc:subject/>
  <cp:keywords/>
  <cp:category/>
  <cp:lastModifiedBy/>
  <dcterms:created xsi:type="dcterms:W3CDTF">1991-01-01T00:00:00+01:00</dcterms:created>
  <dcterms:modified xsi:type="dcterms:W3CDTF">2024-04-22T10:00:10+02:00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