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a druhotných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z čistíren odpadních vod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včetně degazačního a důlního plynu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kotlem zařízení, v němž se spalováním paliv získává pouze tepelná energie, která se předává teplonosné látce,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zařízení pro úpravu teploty, vlhkosti, čistoty a proudění vzduchu ve vnitřním prostředí včetně zařízení pro distribuci tepla, chladu a vzduchu, která jsou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písemná zpráva obsahující informace o stávající nebo předpokládané úrovni využívání energie v budovách, v energetickém hospodářství, v průmyslovém postupu a energetických službách s popisem a stanovením technicky, ekologicky a ekonomicky efektivních návrhů na zvýšení úspor energie nebo zvýšení energetické účinnosti včetně doporučení k realizaci,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vnější půdorysná plocha všech prostorů s upravovaným vnitřním prostředím v celé budově, vymezená vnějšími povrchy konstrukcí obálky budovy,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nebo zóny, které jsou vystaveny přilehlému prostředí, jež tvoří venkovní vzduch, přilehlá zemina, vnitřní vzduch v přilehlém nevytápěném prostoru, sousední nevytápěné budově nebo sousední zóně budovy vytápěné na nižší vnitřní návrhovou teplotu,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vytápění, chlazení, větrání, úpravě vlhkosti vzduchu, přípravě teplé vody, osvětlení budovy nebo její ucelené části nebo pro kombinaci těchto účelů,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je ve značném rozsahu pokryta z obnovitelných zdrojů.</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energetickým štítkem označení výrobku spojeného se spotřebou energie, které obsahuje údaje o spotřebě energie a jiných hlavních zdrojů spotřebovaných v souvislosti s tímto výrobkem,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informačním listem normalizovaný přehled informací týkající se výrobku spojeného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jinými hlavními zdroji voda, chemikálie nebo jakékoli jiné látky spotřebované výrobkem při běžném používání,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dodavatelem výrobce nebo jeho zplnomocněný zástupce v Unii nebo dovozce, uvádějící výrobek spojený se spotřebou energie na trh nebo do provozu v Unii; pokud tito neexistují, považuje se za dodavatele jakákoli osoba, která uvádí na trh nebo do provozu v Unii výrobky spojené se spotřebou energie, na něž se vztahuje tento zákon,</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obchodníkem osoba, která prodává, pronajímá, nabízí ke koupi na splátky nebo předvádí výrobky spojené se spotřebou energie konečným uživatelům.</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potřebou zabezpečit základní funkce státu a s potřebami hospodářského a společenského rozvoje i za krizové situace,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nebo obce. Vytváří podmínky pro hospodárné nakládání s energií v souladu s potřebami hospodářského a společenského rozvoje včetně ochrany životního prostředí a šetrného nakládání s přírodními zdroji energie. Územní energetická koncepce je neopomenutelným podkladem pro politiku územního rozvoje a územně plánovací dokumentaci.</w:t>
      </w:r>
    </w:p>
    <w:p>
      <w:pPr>
        <w:ind w:left="0" w:right="0"/>
      </w:pPr>
      <w:r>
        <w:rPr>
          <w:b/>
          <w:bCs/>
        </w:rPr>
        <w:t xml:space="preserve">(2)</w:t>
      </w:r>
      <w:r>
        <w:rPr/>
        <w:t xml:space="preserve"> Územní energetickou koncepci jsou povinni přijmout pro svůj územní obvod kraj, hlavní město Praha a statutární město.</w:t>
      </w:r>
    </w:p>
    <w:p>
      <w:pPr>
        <w:ind w:left="0" w:right="0"/>
      </w:pPr>
      <w:r>
        <w:rPr>
          <w:b/>
          <w:bCs/>
        </w:rPr>
        <w:t xml:space="preserve">(3)</w:t>
      </w:r>
      <w:r>
        <w:rPr/>
        <w:t xml:space="preserve"> Územní energetickou koncepci může, pokud se nejedná o povinnost podle odstavce 2, přijmout pro svůj územní obvod nebo jeho část obec. Územní energetická koncepce přijatá obcí musí být v souladu s územní energetickou koncepcí přijatou krajem.</w:t>
      </w:r>
    </w:p>
    <w:p>
      <w:pPr>
        <w:ind w:left="0" w:right="0"/>
      </w:pPr>
      <w:r>
        <w:rPr>
          <w:b/>
          <w:bCs/>
        </w:rPr>
        <w:t xml:space="preserve">(4)</w:t>
      </w:r>
      <w:r>
        <w:rPr/>
        <w:t xml:space="preserve"> Územní energetická koncepce se zpracovává na období 20 let a v případě potřeby podle odstavce 7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 zvláště se vyhodnotí vhodnost vytápění a chlazení využívajících obnovitelné zdroje energie v místní infrastruktuře,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STÁTNÍ PROGRAM NA PODPORU ÚSPOR ENERGIE A VYUŽITÍ OBNOVITELNÝCH A DRUHOTNÝCH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a druhotných zdrojů energie (dále jen „Program“) je program na podporu zvyšování účinnosti užití energie, snižování energetické náročnosti a využití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středním a velmi malým podnikům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rozvoj energeticky úsporných budov.</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zřizovaných výroben a výroben, u nichž se provádí změna dokončené stavby</w:t>
      </w:r>
      <w:r>
        <w:rPr>
          <w:vertAlign w:val="superscript"/>
        </w:rPr>
        <w:t xml:space="preserve">4</w:t>
      </w:r>
      <w:r>
        <w:rPr/>
        <w:t xml:space="preserve">), zajistit alespoň minimální účinnost užití energie výroben elektřiny nebo tepelné energie stanovenou prováděcím právním předpisem.</w:t>
      </w:r>
    </w:p>
    <w:p>
      <w:pPr>
        <w:ind w:left="0" w:right="0"/>
      </w:pPr>
      <w:r>
        <w:rPr>
          <w:b/>
          <w:bCs/>
        </w:rPr>
        <w:t xml:space="preserve">(2)</w:t>
      </w:r>
      <w:r>
        <w:rPr/>
        <w:t xml:space="preserve"> Stavebník nebo vlastník zařízení na distribuci tepelné energie a vnitřní distribuci tepelné energie a chladu</w:t>
      </w:r>
      <w:r>
        <w:rPr>
          <w:vertAlign w:val="superscript"/>
        </w:rPr>
        <w:t xml:space="preserve">2</w:t>
      </w:r>
      <w:r>
        <w:rPr/>
        <w:t xml:space="preserve">) je povinen u nově zřizovaných zařízení a u zařízení, u nichž se provádí změna dokončené stavby</w:t>
      </w:r>
      <w:r>
        <w:rPr>
          <w:vertAlign w:val="superscript"/>
        </w:rPr>
        <w:t xml:space="preserve">4</w:t>
      </w:r>
      <w:r>
        <w:rPr/>
        <w:t xml:space="preserve">) na distribuci tepelné energie a vnitřní distribuci tepelné energie a chladu, zajistit účinnost užití rozvodů energie a vybavení vnějších rozvodů a vnitřních rozvodů tepelné energie a chladu v rozsahu stanoveném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Držitel licence na výrobu elektřiny podle energetického zákona vyrábějící elektřinu ve výrobně elektřiny s instalovaným výkonem vyšším než 5 MWe s využitím hnědého uhlí (dále jen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účinnosti užití energie provozovaných výroben elektřiny (dále jen „kontrola účinnosti“), jejímž výsledkem je pravidelná písemná zpráva o kontrole účinnosti podle prováděcího právního předpisu obsahující také množství elektřiny vyrobené v období, za které byla kontrola účinnosti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zprávy o kontrole účinnosti objektivně, pravidelně a úplně,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předkládat zprávy o kontrole účinnosti ministerstvu do 30 dnů od provedení kontroly účinnosti a na vyžádání Státní energetické inspekci.</w:t>
      </w:r>
    </w:p>
    <w:p>
      <w:pPr>
        <w:ind w:left="0" w:right="0"/>
      </w:pPr>
      <w:r>
        <w:rPr>
          <w:b/>
          <w:bCs/>
        </w:rPr>
        <w:t xml:space="preserve">(5)</w:t>
      </w:r>
      <w:r>
        <w:rPr/>
        <w:t xml:space="preserve"> Výrobce elektřiny, který vyrábí elektřinu bez dodávky užitečného tepla s účinností užití energie nižší, než je hodnota stanovená prováděcím právním předpisem, je povinen uhradit operátorovi trhu do 90 dnů od provedení kontroly účinnosti platbu za nesplnění minimální účinnosti užití energie při spalování hnědého uhlí. Ministerstvo zveřejňuje způsobem umožňujícím dálkový přístup údaje ze zpráv o kontrole účinnosti. Operátor trhu eviduje příjmy z platby na zvláštním účtu a používá je na úhradu nákladů spojených s podporou elektřiny z vysokoúčinné kombinované výroby elektřiny a tepla vyrobené z hnědého uhlí podle jiného právního předpisu</w:t>
      </w:r>
      <w:r>
        <w:rPr>
          <w:vertAlign w:val="superscript"/>
        </w:rPr>
        <w:t xml:space="preserve">4b</w:t>
      </w:r>
      <w:r>
        <w:rPr/>
        <w:t xml:space="preserve">).</w:t>
      </w:r>
    </w:p>
    <w:p>
      <w:pPr>
        <w:ind w:left="0" w:right="0"/>
      </w:pPr>
      <w:r>
        <w:rPr>
          <w:b/>
          <w:bCs/>
        </w:rPr>
        <w:t xml:space="preserve">(6)</w:t>
      </w:r>
      <w:r>
        <w:rPr/>
        <w:t xml:space="preserve"> Způsob stanovení účinnosti užití energie provozovaných výroben elektřiny, hodnoty minimální účinnosti užití energie výroby elektřiny bez dodávky užitečného tepla, četnost kontroly účinnosti, vzor a obsah zprávy o kontrole účinnosti a způsob stanovení množství elektřiny vyrobené v období, za které byla kontrola účinnosti provedena, a rozsah zveřejňovaných údajů ze zpráv o kontrole účinnosti včetně údajů o platbách operátorovi trhu stanoví prováděcí právní předpis.</w:t>
      </w:r>
    </w:p>
    <w:p>
      <w:pPr>
        <w:ind w:left="0" w:right="0"/>
      </w:pPr>
      <w:r>
        <w:rPr>
          <w:b/>
          <w:bCs/>
        </w:rPr>
        <w:t xml:space="preserve">(7)</w:t>
      </w:r>
      <w:r>
        <w:rPr/>
        <w:t xml:space="preserve"> Výši platby podle odstavce 5 stanoví vláda nařízením.</w:t>
      </w:r>
    </w:p>
    <w:p>
      <w:pPr>
        <w:pStyle w:val="Heading3"/>
      </w:pPr>
      <w:r>
        <w:rPr>
          <w:b/>
          <w:bCs/>
        </w:rPr>
        <w:t xml:space="preserve">§ 6a</w:t>
      </w:r>
      <w:r>
        <w:rPr>
          <w:rStyle w:val="hidden"/>
        </w:rPr>
        <w:t xml:space="preserve"> -</w:t>
      </w:r>
      <w:br/>
      <w:r>
        <w:rPr/>
        <w:t xml:space="preserve">Kontrola provozovaných kotlů a rozvodů tepelné energie a klimatizačních systémů</w:t>
      </w:r>
    </w:p>
    <w:p>
      <w:pPr>
        <w:ind w:left="0" w:right="0"/>
      </w:pPr>
      <w:r>
        <w:rPr>
          <w:b/>
          <w:bCs/>
        </w:rPr>
        <w:t xml:space="preserve">(1)</w:t>
      </w:r>
      <w:r>
        <w:rPr/>
        <w:t xml:space="preserve"> U provozovaných kotlů se jmenovitým výkonem nad 20 kW a příslušných rozvodů tepelné energie je jejich vlastník nebo společenství vlastníků jednotek</w:t>
      </w:r>
      <w:r>
        <w:rPr>
          <w:vertAlign w:val="superscript"/>
        </w:rPr>
        <w:t xml:space="preserve">5</w:t>
      </w:r>
      <w:r>
        <w:rPr/>
        <w:t xml:space="preserv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těchto kotlů a příslušných rozvodů tepelné energie, jejímž výsledkem je písemná zpráva o kontrole provozovaných kotlů a příslušných rozvodů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provozovaných kotlů a příslušných rozvodů tepelné energie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(2)</w:t>
      </w:r>
      <w:r>
        <w:rPr/>
        <w:t xml:space="preserve"> U provozovaných klimatizačních systémů se jmenovitým chladicím výkonem vyšším než 12 kW je jeho vlastník nebo společenství vlastníků jednotek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tohoto klimatizačního systému, jejímž výsledkem je písemná zpráva o kontrole klimatizačního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klimatizačního systému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(3)</w:t>
      </w:r>
      <w:r>
        <w:rPr/>
        <w:t xml:space="preserve"> Při kontrole provozovaných kotlů, tepelných rozvodů a klimatizačních systémů musejí být splněny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provozovaných kotlů a příslušných rozvodů tepelné energie, které nejsou předmětem licence na výrobu tepelné energie a licence na rozvod tepelné energie podle zvláštního právního předpisu</w:t>
      </w:r>
      <w:r>
        <w:rPr>
          <w:vertAlign w:val="superscript"/>
        </w:rPr>
        <w:t xml:space="preserve">2</w:t>
      </w:r>
      <w:r>
        <w:rPr/>
        <w:t xml:space="preserve">) může provádět pouze příslušný energetický specialista podle § 10 odst. 1 písm. c) nebo osoba podle písmene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 provozovaných kotlů a příslušných rozvodů tepelné energie, které jsou předmětem licence na výrobu tepelné energie a licence na rozvod tepelné energie podle zvláštního právního předpisu</w:t>
      </w:r>
      <w:r>
        <w:rPr>
          <w:vertAlign w:val="superscript"/>
        </w:rPr>
        <w:t xml:space="preserve">2</w:t>
      </w:r>
      <w:r>
        <w:rPr/>
        <w:t xml:space="preserve">), provádí držitel této licence na výrobu tepla a držitel licence na rozvod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kontrolu klimatizačních systémů může provádět pouze příslušný energetický specialista podle § 10 odst. 1 písm. d) nebo osoba podle písmene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kontroly provozovaných kotlů a rozvodů tepelné energie a kontroly klimatizačních systémů včetně zpracování příslušné zprávy může provést a zpracovat také osoba usazena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zprávy o kontrolách provozovaných kotlů a příslušných rozvodů tepelné energie podle odstavce 1 a klimatizačních systémů podle odstavce 2 musejí být zpracovány objektivně, nestranně, pravdivě a úplně.</w:t>
      </w:r>
    </w:p>
    <w:p>
      <w:pPr>
        <w:ind w:left="0" w:right="0"/>
      </w:pPr>
      <w:r>
        <w:rPr>
          <w:b/>
          <w:bCs/>
        </w:rPr>
        <w:t xml:space="preserve">(4)</w:t>
      </w:r>
      <w:r>
        <w:rPr/>
        <w:t xml:space="preserve"> Povinnost podle odstavců 1 a 2 se nevztahuje na kotle a vnitřní rozvody tepelné energie a klimatizační systémy umístěné v rodinných domech, bytech a stavbách pro rodinnou rekreaci s výjimkou případů, kdy jsou provozovány výhradně pro podnikatelskou činnost. Na kotle a vnitřní rozvody tepelné energie a klimatizační systémy umístěné v rodinných domech, bytech a stavbách pro rodinnou rekreaci se poskytuje poradenství podle § 5 odst. 4 písm. g).</w:t>
      </w:r>
    </w:p>
    <w:p>
      <w:pPr>
        <w:ind w:left="0" w:right="0"/>
      </w:pPr>
      <w:r>
        <w:rPr>
          <w:b/>
          <w:bCs/>
        </w:rPr>
        <w:t xml:space="preserve">(5)</w:t>
      </w:r>
      <w:r>
        <w:rPr/>
        <w:t xml:space="preserve"> Rozsah, četnost a způsob provádění kontroly, vzor a obsah zprávy o kontrolách provozovaných kotlů a rozvodů tepelné energie a kontrolách klimatizačních systémů stanoví prováděcí právní předpis.</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nebo ohlášení stavby doložit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kladným závazným stanoviskem dotčeného orgánu podle § 13 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kladným závazným stanoviskem dotčeného orgánu podle § 13 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kladným závazným stanoviskem dotčeného orgánu podle § 13 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průkazem energetické náročnosti budovy posouzení technické, ekonomické a ekologické proveditelnosti alternativních systémů dodávek energie.</w:t>
      </w:r>
    </w:p>
    <w:p>
      <w:pPr>
        <w:ind w:left="0" w:right="0"/>
      </w:pPr>
      <w:r>
        <w:rPr>
          <w:b/>
          <w:bCs/>
        </w:rPr>
        <w:t xml:space="preserve">(2)</w:t>
      </w:r>
      <w:r>
        <w:rPr/>
        <w:t xml:space="preserve"> V případě větší změny dokončené budovy jsou stavebník, vlastník budovy nebo společenství vlastníků jednotek povinni plnit požadavky na energetickou náročnost budovy podle prováděcího právního předpisu a stavebník je povinen při podání žádosti o stavební povolení nebo ohlášení stavby, anebo vlastník budovy nebo společenství vlastníků jednotek jsou povinni před zahájením větší změny dokončené budovy, v případě, kdy tato změna nepodléhá stavebnímu povolení či ohlášení, doložit průkazem energetické náročnosti budovy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stanovení doporučených opatření pro snížení energetické náročnosti budovy podle prováděcího právního předpisu.</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nebo společenství vlastníků jednotek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a registrujícími dodávku tepelné energie konečným uživatelům v rozsahu stanoveném prováděcím právním předpisem; konečný uživatel je povinen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při užívání budov nepřekročení měrných ukazatelů spotřeby tepla pro vytápění, chlazení a pro přípravu teplé vody stanovených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pravidly pro vytápění, chlazení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 užívaných orgány státní správy s celkovou energeticky vztažnou plochou větší než 1 500 m</w:t>
      </w:r>
      <w:r>
        <w:rPr>
          <w:vertAlign w:val="superscript"/>
        </w:rPr>
        <w:t xml:space="preserve">2</w:t>
      </w:r>
      <w:r>
        <w:rPr/>
        <w:t xml:space="preserve"> zařadit do 1. ledna 2015 tyto budovy do Systému monitoringu spotřeby energie uveřejněného na internetových stránkách ministerstva.</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nebo společenství vlastníků jednotek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700 GJ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nebo společenství vlastníků jednotek prokáže energetickým auditem, že to není technicky nebo ekonomicky vhodné s ohledem na životnost budovy a její provozní účely.</w:t>
      </w:r>
    </w:p>
    <w:p>
      <w:pPr>
        <w:ind w:left="0" w:right="0"/>
      </w:pPr>
      <w:r>
        <w:rPr>
          <w:b/>
          <w:bCs/>
        </w:rPr>
        <w:t xml:space="preserve">(6)</w:t>
      </w:r>
      <w:r>
        <w:rPr/>
        <w:t xml:space="preserve"> Pravidla pro vytápění, chlazení a dodávku teplé vody se nevztahují na dodávky uskutečňované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rodinných domech a stavbách pro rodinnou rekreaci,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nebytové prostory za podmínky nepřekročení limitů stanovených prováděcím právním předpisem a neohrožení zdraví a majetku; nepřekročení limitů se prokazuje energetickým posudkem,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byty ve vlastnictví společenství vlastníků jednotek, pokud společenství vlastníků jednotek vyjádří souhlas</w:t>
      </w:r>
      <w:r>
        <w:rPr>
          <w:vertAlign w:val="superscript"/>
        </w:rPr>
        <w:t xml:space="preserve">5</w:t>
      </w:r>
      <w:r>
        <w:rPr/>
        <w:t xml:space="preserve">) s odlišnými pravidly, za podmínky nepřekročení limitů stanovených prováděcím právním předpisem a neohrožení zdraví a majetku; nepřekročení limitů se prokazuje energetickým posudkem.</w:t>
      </w:r>
    </w:p>
    <w:p>
      <w:pPr>
        <w:ind w:left="0" w:right="0"/>
      </w:pPr>
      <w:r>
        <w:rPr>
          <w:b/>
          <w:bCs/>
        </w:rPr>
        <w:t xml:space="preserve">(7)</w:t>
      </w:r>
      <w:r>
        <w:rPr/>
        <w:t xml:space="preserve"> Povinnosti podle odstavce 4 písm. a) a c) se nevztahují na rodinné domy a stavby pro rodinnou rekreaci.</w:t>
      </w:r>
    </w:p>
    <w:p>
      <w:pPr>
        <w:ind w:left="0" w:right="0"/>
      </w:pPr>
      <w:r>
        <w:rPr>
          <w:b/>
          <w:bCs/>
        </w:rPr>
        <w:t xml:space="preserve">(8)</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(9)</w:t>
      </w:r>
      <w:r>
        <w:rPr/>
        <w:t xml:space="preserve"> Rozsah vybavení vnitřních tepelných zařízení budov přístroji regulujícími a registrujícími dodávku tepelné energie konečným uživatelům, měrné ukazatele tepla pro vytápění, chlazení a přípravu teplé vody a pravidla pro vytápění, chlazení a dodávku teplé vody stanoví prováděcí právní předpis.</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nebo společenství vlastníků jednotek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zpracování průkazu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zpracování průkazu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zpracování průkazu pro užívané bytové domy nebo administrativní budovy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 celkovou energeticky vztažnou plochou větší než 1 500 m</w:t>
      </w:r>
      <w:r>
        <w:rPr>
          <w:vertAlign w:val="superscript"/>
        </w:rPr>
        <w:t xml:space="preserve">2</w:t>
      </w:r>
      <w:r>
        <w:rPr/>
        <w:t xml:space="preserve"> do 1. ledna 2015,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 celkovou energeticky vztažnou plochou větší než 1 000 m</w:t>
      </w:r>
      <w:r>
        <w:rPr>
          <w:vertAlign w:val="superscript"/>
        </w:rPr>
        <w:t xml:space="preserve">2</w:t>
      </w:r>
      <w:r>
        <w:rPr/>
        <w:t xml:space="preserve"> do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 celkovou energeticky vztažnou plochou menší než 1 000 m</w:t>
      </w:r>
      <w:r>
        <w:rPr>
          <w:vertAlign w:val="superscript"/>
        </w:rPr>
        <w:t xml:space="preserve">2</w:t>
      </w:r>
      <w:r>
        <w:rPr/>
        <w:t xml:space="preserve"> do 1. ledna 2019,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budovy užívané orgánem veřejné moci v případě, že pro ni nastala povinnost zajistit zpracování průkazu podle odstavce 1 písm. a) až c), umístit průkaz v budově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předkládat na vyžádání průkazy ministerstvu nebo Státní energetické inspekci.</w:t>
      </w:r>
    </w:p>
    <w:p>
      <w:pPr>
        <w:ind w:left="0" w:right="0"/>
      </w:pPr>
      <w:r>
        <w:rPr>
          <w:b/>
          <w:bCs/>
        </w:rPr>
        <w:t xml:space="preserve">(2)</w:t>
      </w:r>
      <w:r>
        <w:rPr/>
        <w:t xml:space="preserve"> Vlastník budovy nebo společenství vlastníků jednotek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zpracování průkazu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ukazatelů energetické náročnosti uvedených v průkazu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0" w:right="0"/>
      </w:pPr>
      <w:r>
        <w:rPr>
          <w:b/>
          <w:bCs/>
        </w:rPr>
        <w:t xml:space="preserve">(3)</w:t>
      </w:r>
      <w:r>
        <w:rPr/>
        <w:t xml:space="preserve"> Vlastník jednotky</w:t>
      </w:r>
      <w:r>
        <w:rPr>
          <w:vertAlign w:val="superscript"/>
        </w:rPr>
        <w:t xml:space="preserve">5</w:t>
      </w:r>
      <w:r>
        <w:rPr/>
        <w:t xml:space="preserv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ukazatelů energetické náročnosti uvedených v průkazu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0" w:right="0"/>
      </w:pPr>
      <w:r>
        <w:rPr>
          <w:b/>
          <w:bCs/>
        </w:rPr>
        <w:t xml:space="preserve">(4)</w:t>
      </w:r>
      <w:r>
        <w:rPr/>
        <w:t xml:space="preserve"> Průkaz platí 10 let ode dne data jeho vyhotovení nebo do provedení větší změny dokončené budovy, pro kterou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případy uvedené v § 9a odst. 1 písm. a) a v § 9a odst. 2 písm. a) a b) obsahovat energetický posudek,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zpracován objektivně, pravdivě a úplně.</w:t>
      </w:r>
    </w:p>
    <w:p>
      <w:pPr>
        <w:ind w:left="0" w:right="0"/>
      </w:pPr>
      <w:r>
        <w:rPr>
          <w:b/>
          <w:bCs/>
        </w:rPr>
        <w:t xml:space="preserve">(5)</w:t>
      </w:r>
      <w:r>
        <w:rPr/>
        <w:t xml:space="preserve"> Povinnosti podle odstavců 1 až 3 se nevztahují na případy uvedené v § 7 odst. 5 písm. a), c), d) a e).</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 včetně jednotky.</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dodání informačních listů a zpracování technické dokumentace, stanoví přímo použitelný předpis Evropské unie nebo prováděcí právní předpis; a seznam těchto výrobků je uveden v prováděcím právním předpise.</w:t>
      </w:r>
    </w:p>
    <w:p>
      <w:pPr>
        <w:ind w:left="0" w:right="0"/>
      </w:pPr>
      <w:r>
        <w:rPr>
          <w:b/>
          <w:bCs/>
        </w:rPr>
        <w:t xml:space="preserve">(2)</w:t>
      </w:r>
      <w:r>
        <w:rPr/>
        <w:t xml:space="preserve"> Dodavatel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tištěný energetický štítek a informační list v českém jazyce, který splňuje požadavky stanovené prováděcím právním předpisem</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uchovávat technickou dokumentaci podle odstavce 3 pro účely kontroly, a to nejméně po dobu 5 let od vyrobení posledního dotčeného výrobku spojeného se spotřebou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na vyžádání Státní energetické inspekci technickou dokumentaci podle odstavce 3 a všechny doklady prokazující správnost informací uvedených na energetickém štítku, v informačním listu a v technické dokumentaci,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na vyžádání Státní energetické inspekci nebo Evropské komisi elektronickou verzi technické dokumentace, a to do 10 pracovních dnů po obdržení žádosti Státní energetické inspekce nebo Evropské komise,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na požádání obchodníkům okamžitě a bezúplatně potřebné energetické štítky a informační listy výrobků spojených se spotřebou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zahrnovat informační list výrobku spojeného se spotřebou energie do všech informačních a reklamních materiálů týkajících se výrobku spojeného se spotřebou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uvést na energetických štítcích a v informačních listech správné informace založené na metodách a postupech měření podle prováděcího právního předpisu</w:t>
      </w:r>
      <w:r>
        <w:rPr>
          <w:vertAlign w:val="superscript"/>
        </w:rPr>
        <w:t xml:space="preserve">10</w:t>
      </w:r>
      <w:r>
        <w:rPr/>
        <w:t xml:space="preserve">).</w:t>
      </w:r>
    </w:p>
    <w:p>
      <w:pPr>
        <w:ind w:left="0" w:right="0"/>
      </w:pPr>
      <w:r>
        <w:rPr>
          <w:b/>
          <w:bCs/>
        </w:rPr>
        <w:t xml:space="preserve">(3)</w:t>
      </w:r>
      <w:r>
        <w:rPr/>
        <w:t xml:space="preserve"> Technická dokumentace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obecný popis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provedené konstrukční výpočty, stanoví-li tak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pokud jsou k dispozici, včetně protokolů o těch zkouškách, které byly provedeny příslušnými notifikovanými osobami podle jiných právních předpisů</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výpočty nebo odvození informací uvedených v písmenech a) až c) v případě, že tyto informace byly získány formou zkoušek u podobných typů výrobků spojených se spotřebou energie umožňující ověření přesnosti uvedených informací včetně seznamu všech dalších podobných typů výrobků spojených se spotřebou energie, u nichž byly informace získány stejným způsobem, stanoví-li tak prováděcí právní předpis.</w:t>
      </w:r>
    </w:p>
    <w:p>
      <w:pPr>
        <w:ind w:left="0" w:right="0"/>
      </w:pPr>
      <w:r>
        <w:rPr>
          <w:b/>
          <w:bCs/>
        </w:rPr>
        <w:t xml:space="preserve">(4)</w:t>
      </w:r>
      <w:r>
        <w:rPr/>
        <w:t xml:space="preserve"> Obchodník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řádně viditelným a čitelným způsobem vystavit na nebo u výrobku spojeného se spotřebou energie energetický štítek a poskytnout informační list v českém jazyce v informačních a reklamních materiálech týkajících se výrobku spojeného se spotřebou energie, které jsou k výrobkům spojeným se spotřebou energie přiloženy, když jsou prodávány konečným uživatelům,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výrobek spojený se spotřebou energie příslušným energetickým štítkem na místě stanoveném v prováděcím právním předpise</w:t>
      </w:r>
      <w:r>
        <w:rPr>
          <w:vertAlign w:val="superscript"/>
        </w:rPr>
        <w:t xml:space="preserve">10</w:t>
      </w:r>
      <w:r>
        <w:rPr/>
        <w:t xml:space="preserve">), a to v českém jazyce, kdykoli je výrobek spojený se spotřebou energie, na něhož se vztahuje prováděcí právní předpis</w:t>
      </w:r>
      <w:r>
        <w:rPr>
          <w:vertAlign w:val="superscript"/>
        </w:rPr>
        <w:t xml:space="preserve">10</w:t>
      </w:r>
      <w:r>
        <w:rPr/>
        <w:t xml:space="preserve">), nabízen nebo předváděn,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postupovat v případě, že jsou výrobky nabízeny k prodeji, k pronájmu nebo ke koupi na splátky prostřednictvím zásilkového prodeje, katalogu, internetu, telemarketingu nebo jakýmikoli jinými způsoby, při nichž nelze předpokládat, že potenciální konečný uživatel uvidí vystavený výrobek spojený se spotřebou energie, tak, aby byly konečnému uživateli informace uvedené na energetickém štítku a v informačním listu zpřístupněny podle prováděcího právního předpisu</w:t>
      </w:r>
      <w:r>
        <w:rPr>
          <w:vertAlign w:val="superscript"/>
        </w:rPr>
        <w:t xml:space="preserve">10</w:t>
      </w:r>
      <w:r>
        <w:rPr/>
        <w:t xml:space="preserve">).</w:t>
      </w:r>
    </w:p>
    <w:p>
      <w:pPr>
        <w:ind w:left="0" w:right="0"/>
      </w:pPr>
      <w:r>
        <w:rPr>
          <w:b/>
          <w:bCs/>
        </w:rPr>
        <w:t xml:space="preserve">(5)</w:t>
      </w:r>
      <w:r>
        <w:rPr/>
        <w:t xml:space="preserve"> Dodavatel a obchodník jsou dále povinni uvádět odkaz na třídu energetické účinnosti výrobku spojeného se spotřebou energie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informačních a reklamních materiálech popisujících spotřebu energie nebo cenu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informačních a reklamních technických materiálech popisujících konkrétní technické parametry výrobku spojeného se spotřebou energie uveřejňovaných v písemné nebo elektronické formě.</w:t>
      </w:r>
    </w:p>
    <w:p>
      <w:pPr>
        <w:ind w:left="0" w:right="0"/>
      </w:pPr>
      <w:r>
        <w:rPr>
          <w:b/>
          <w:bCs/>
        </w:rPr>
        <w:t xml:space="preserve">(6)</w:t>
      </w:r>
      <w:r>
        <w:rPr/>
        <w:t xml:space="preserve"> Požadavky na energetické štítky, informační listy a technickou dokumentaci podle tohoto zákona se nevztahují na použité výrobky spojené se spotřebou energie, jakékoli dopravní prostředky pro přepravu osob, zvířat nebo věcí a na štítek s údaji o výkonu nebo jeho ekvivalent připojený k výrobku spojenému se spotřebou energie z bezpečnostních důvodů.</w:t>
      </w:r>
    </w:p>
    <w:p>
      <w:pPr>
        <w:ind w:left="0" w:right="0"/>
      </w:pPr>
      <w:r>
        <w:rPr>
          <w:b/>
          <w:bCs/>
        </w:rPr>
        <w:t xml:space="preserve">(7)</w:t>
      </w:r>
      <w:r>
        <w:rPr/>
        <w:t xml:space="preserve"> Náležitosti označování výrobků spojených se spotřebou energie energetickými štítky, provedení a obsah energetických štítků a informačních listů, metody a postupy měření, určení třídy energetické účinnosti a podrobnosti obsahu technické dokumentace stanoví prováděcí právní předpis</w:t>
      </w:r>
      <w:r>
        <w:rPr>
          <w:vertAlign w:val="superscript"/>
        </w:rPr>
        <w:t xml:space="preserve">10</w:t>
      </w:r>
      <w:r>
        <w:rPr/>
        <w:t xml:space="preserve">).</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Výrobky spojené se spotřebou energie, na které se vztahují požadavky na ekodesign, označování CE a ES prohlášení o shodě, stanoví přímo použitelný předpis Evropské unie a seznam těchto výrobků je uveden v prováděcím právním předpise.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po označení CE a po vydání ES prohlášení o shodě, a to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Stavebník, společenství vlastníků jednotek nebo vlastník budovy nebo energetického hospodářství jsou povinni zpracovat pro budovu nebo energetické hospodářství energetický audit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budova nebo energetické hospodářství mají celkovou průměrnou roční spotřebu energie za poslední dva kalendářní roky vyšší, než je hodnota spotřeby energie stanovená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větší změny dokončené budovy nejsou splněny požadavky na energetickou náročnost budovy podle § 7 odst. 5 písm. f).</w:t>
      </w:r>
    </w:p>
    <w:p>
      <w:pPr>
        <w:ind w:left="0" w:right="0"/>
      </w:pPr>
      <w:r>
        <w:rPr>
          <w:b/>
          <w:bCs/>
        </w:rPr>
        <w:t xml:space="preserve">(2)</w:t>
      </w:r>
      <w:r>
        <w:rPr/>
        <w:t xml:space="preserve"> Energetický audit platí do provedení větší změny dokončené budovy nebo energetického hospodářství, pro které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(3)</w:t>
      </w:r>
      <w:r>
        <w:rPr/>
        <w:t xml:space="preserve"> Další povinnosti stavebníka, společenství vlastníků jednotek nebo vlastníka budovy nebo energetického hospodářství v případě, že pro ně nastala povinnost zpracovat audit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nebo Státní energetické inspekci,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splnit opatření nebo část opatření vyplývající z energetického auditu ve lhůtě stanovené v rozhodnutí Státní energetické inspekce v případě, že se jedná o organizační složky státu, krajů a obcí a příspěvkové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energetického auditu osobou podle odstavce 2 písm. a) bodu 2 a předložit ministerstvu kopii oprávnění osoby pro vykonávání této činnosti podle právního předpisu jiného členského státu Unie.</w:t>
      </w:r>
    </w:p>
    <w:p>
      <w:pPr>
        <w:ind w:left="0" w:right="0"/>
      </w:pPr>
      <w:r>
        <w:rPr>
          <w:b/>
          <w:bCs/>
        </w:rPr>
        <w:t xml:space="preserve">(4)</w:t>
      </w:r>
      <w:r>
        <w:rPr/>
        <w:t xml:space="preserve"> Povinnost zpracovat energetický audit se nevztahuje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stávající energetické hospodářství v případě, že zařízení na výrobu elektřiny a tepelné energie, na přenos elektřiny a distribuci elektřiny a na rozvod tepelné energie odpovídá požadavkům na účinnost užití energie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dokončené budovy, jejichž měrná spotřeba tepla při vytápění odpovídá požadavkům stanoveným prováděcím právním předpisem.</w:t>
      </w:r>
    </w:p>
    <w:p>
      <w:pPr>
        <w:ind w:left="0" w:right="0"/>
      </w:pPr>
      <w:r>
        <w:rPr>
          <w:b/>
          <w:bCs/>
        </w:rPr>
        <w:t xml:space="preserve">(5)</w:t>
      </w:r>
      <w:r>
        <w:rPr/>
        <w:t xml:space="preserve"> Obsah a způsob zpracování energetického auditu a jeho rozsah stanoví prováděcí právní předpis.</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vyšším než 200 kW; energetický posudek je součástí průkazu podle § 7a odst. 4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proveditelnosti zavedení výroby elektřiny u energetického hospodářství s celkovým tepelným výkonem vyšším než 5 MW, pokud je předložena dokumentace stavby podle zvláštního právního předpisu</w:t>
      </w:r>
      <w:r>
        <w:rPr>
          <w:vertAlign w:val="superscript"/>
        </w:rPr>
        <w:t xml:space="preserve">4</w:t>
      </w:r>
      <w:r>
        <w:rPr/>
        <w:t xml:space="preserve">)</w:t>
      </w:r>
      <w:r>
        <w:rPr>
          <w:vertAlign w:val="superscript"/>
        </w:rPr>
        <w:t xml:space="preserve">, 14</w:t>
      </w:r>
      <w:r>
        <w:rPr/>
        <w:t xml:space="preserve">) pro budování nového zdroje energie nebo pro změnu dokončených staveb u zdrojů energie již vybudovaných,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proveditelnosti zavedení dodávky tepla u energetického hospodářství s celkovým elektrickým výkonem vyšším než 10 MW, pokud je předložena dokumentace stavby podle zvláštního právního předpisu</w:t>
      </w:r>
      <w:r>
        <w:rPr>
          <w:vertAlign w:val="superscript"/>
        </w:rPr>
        <w:t xml:space="preserve">4</w:t>
      </w:r>
      <w:r>
        <w:rPr/>
        <w:t xml:space="preserve">)</w:t>
      </w:r>
      <w:r>
        <w:rPr>
          <w:vertAlign w:val="superscript"/>
        </w:rPr>
        <w:t xml:space="preserve">,</w:t>
      </w:r>
      <w:r>
        <w:rPr/>
        <w:t xml:space="preserve"> </w:t>
      </w:r>
      <w:r>
        <w:rPr>
          <w:vertAlign w:val="superscript"/>
        </w:rPr>
        <w:t xml:space="preserve">14</w:t>
      </w:r>
      <w:r>
        <w:rPr/>
        <w:t xml:space="preserve">) pro budování nového zdroje energie nebo pro změnu dokončených staveb u zdrojů energie již vybudovaných; u energetického hospodářství, které užívá plynové turbíny, se tato povinnost vztahuje na celkový elektrický výkon vyšší než 2 MW, u spalovacích motorů se tato povinnost vztahuje na celkový elektrický výkon vyšší než 0,8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w:t>
      </w:r>
    </w:p>
    <w:p>
      <w:pPr>
        <w:ind w:left="0" w:right="0"/>
      </w:pPr>
      <w:r>
        <w:rPr>
          <w:b/>
          <w:bCs/>
        </w:rPr>
        <w:t xml:space="preserve">(2)</w:t>
      </w:r>
      <w:r>
        <w:rPr/>
        <w:t xml:space="preserve"> Stavebník, společenství vlastníků jednotek nebo vlastník budovy nebo energetického hospodářství může na základě vlastního rozhodnutí zajistit energetický posudek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nižším než 200 kW; v případě, že je energetický posudek zpracován, je součástí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 v případě, že je energetický posudek zpracován, je součástí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pro veřejné zakázky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dosahování limitů při jiných pravidlech pro vytápění, chlazení a dodávku teplé vody podle § 7 odst. 6 písm. b) a c).</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(4)</w:t>
      </w:r>
      <w:r>
        <w:rPr/>
        <w:t xml:space="preserve"> Další povinnosti stavebníka, společenství vlastníků jednotek nebo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nebo Státní energetické inspekci.</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Energetickým specialistou je fyzická osoba, která je držitelem oprávnění uděleného ministerstvem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zpracování energetického auditu a energetického posudku,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kontroly provozovaných kotlů a rozvodů tepelné energie,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provádění kontroly klimatizačních systémů.</w:t>
      </w:r>
    </w:p>
    <w:p>
      <w:pPr>
        <w:ind w:left="0" w:right="0"/>
      </w:pPr>
      <w:r>
        <w:rPr>
          <w:b/>
          <w:bCs/>
        </w:rPr>
        <w:t xml:space="preserve">(2)</w:t>
      </w:r>
      <w:r>
        <w:rPr/>
        <w:t xml:space="preserve"> Podmínky pro udělení oprávnění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 které se prokazuje protokolem o výsledku zkoušky podle § 10a,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r>
        <w:rPr>
          <w:vertAlign w:val="superscript"/>
        </w:rPr>
        <w:t xml:space="preserve">6g</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která se prokazuje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která se prokazuje podle odstavce 4.</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 Fyzická osoba, která není státním občanem České republiky, dokládá bezúhonnost výpisem z evidence obdobné Rejstříku trestů vydaným státem, jehož je fyzická osoba občanem, jakož i doklady vydanými státy, ve kterých se déle než 3 měsíce nepřetržitě zdržovala v předcházejících 3 letech. Nevydávají-li tyto státy výpis z evidence trestů nebo rovnocenný doklad, předloží fyzická osoba čestné prohlášení o bezúhonnosti učiněné před notářem nebo orgánem členského státu, jehož je občanem, nebo před notářem nebo orgánem členského státu posledního pobytu. Tyto doklady nesmí být starší 3 měsíců.</w:t>
      </w:r>
    </w:p>
    <w:p>
      <w:pPr>
        <w:ind w:left="0" w:right="0"/>
      </w:pPr>
      <w:r>
        <w:rPr>
          <w:b/>
          <w:bCs/>
        </w:rPr>
        <w:t xml:space="preserve">(4)</w:t>
      </w:r>
      <w:r>
        <w:rPr/>
        <w:t xml:space="preserve"> Za odbornou způsobilost se pro účely tohoto zákona považuje vysokoškolské vzdělání získané studiem v bakalářských, magisterských nebo doktorských studijních programech v oblasti technických věd a jejich oborech energetiky nebo stavebnictví a 3 roky praxe v oboru nebo střední vzdělání s maturitní zkouškou v oblastech vzdělání technického směru v oboru energetiky nebo stavebnictví a 6 roků praxe v oboru nebo vyšší odborné vzdělání v oblastech technického směru v oboru energetiky nebo stavebnictví a 5 let praxe v oboru.</w:t>
      </w:r>
    </w:p>
    <w:p>
      <w:pPr>
        <w:ind w:left="0" w:right="0"/>
      </w:pPr>
      <w:r>
        <w:rPr>
          <w:b/>
          <w:bCs/>
        </w:rPr>
        <w:t xml:space="preserve">(5)</w:t>
      </w:r>
      <w:r>
        <w:rPr/>
        <w:t xml:space="preserve"> Žádost o udělení oprávnění obsahuje kromě náležitostí stanovených správním řádem kopie dokladů prokazujících odbornou způsobilost.</w:t>
      </w:r>
    </w:p>
    <w:p>
      <w:pPr>
        <w:ind w:left="0" w:right="0"/>
      </w:pPr>
      <w:r>
        <w:rPr>
          <w:b/>
          <w:bCs/>
        </w:rPr>
        <w:t xml:space="preserve">(6)</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provozovaného kotle a rozvodu tepelné energie a zprávu o kontrole klimatizačního systému, průkaz, energetický audit a energetický posudek vlastníkovi budovy, společenství vlastníků jednotek nebo nájemci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energetický audit, energetický posudek, průkaz nebo zprávu o kontrole provozovaného kotle a rozvodu tepelné energie nebo zprávu o kontrole klimatizačního systému vlastnoručním podpisem, svým jménem a číslem oprávnění uděleným ministerstvem a datem zpracování; evidenční číslo energetického specialisty nesmí být používáno na jiných než na výše uvedených dokumentech,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vést v elektronické podobě evidenci o provedených činnostech vztahujících se k § 6a, 7a, 9 a 9a a na vyžádání předat údaje z této evidence v elektronické podobě ministerstvu; vzor evidence o provedených činnostech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nebo Státní energetické inspekci dokumenty a informace vztahující se k činnostem podle § 6a, 7a, 9 a 9a a zpracovaným zprávám o kontrolách provozovaných kotlů a rozvodů tepelné energie, k zpracovaným kontrolám klimatizačních systémů, k zpracovaným průkazům a k zpracovaným energetickým auditům a energetickým posudkům,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zpracovávat energetický audit a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je v pracovním nebo obdobném vztahu nebo má majetkovou účast v právnické osobě nebo fyzické osobě, která je vlastníkem nebo provozovatelem kotlů, rozvodů tepelné energie, klimatizačních systémů, budovy nebo její části nebo energetického hospodářství, které jsou předmětem kontroly nebo na které zpracovává energetický audit,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w:t>
      </w:r>
      <w:r>
        <w:rPr>
          <w:vertAlign w:val="superscript"/>
        </w:rPr>
        <w:t xml:space="preserve">6g</w:t>
      </w:r>
      <w:r>
        <w:rPr/>
        <w:t xml:space="preserve">) k osobám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absolvovat přezkušování podle § 10a,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vyžádání ministerstva doložit v úředně ověřené kopii dokumenty prokazující splnění podmínek podle odstavce 2 písm. d),</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příslušné dokumenty v souladu s ustanovením § 6a odst. 3 a 5, § 7a odst. 4 a 6, § 9 odst. 2 a 5 a § 9a odst. 3 a 5.</w:t>
      </w:r>
    </w:p>
    <w:p>
      <w:pPr>
        <w:ind w:left="0" w:right="0"/>
      </w:pPr>
      <w:r>
        <w:rPr>
          <w:b/>
          <w:bCs/>
        </w:rPr>
        <w:t xml:space="preserve">(7)</w:t>
      </w:r>
      <w:r>
        <w:rPr/>
        <w:t xml:space="preserve"> Energetický specialista je dále povinen absolvovat pravidelné průběžné aktualizační odborné vzdělávání podle § 10a (dále jen „průběžné vzdělávání“); součástí této povinnosti je podání žádosti o absolvování průběžného vzdělávání ministerstvu nejpozději 3 měsíce před uplynutím 3 let od termínu udělení oprávnění nebo od termínu absolvování posledního průběžného vzdělávání.</w:t>
      </w:r>
    </w:p>
    <w:p>
      <w:pPr>
        <w:ind w:left="0" w:right="0"/>
      </w:pPr>
      <w:r>
        <w:rPr>
          <w:b/>
          <w:bCs/>
        </w:rPr>
        <w:t xml:space="preserve">(8)</w:t>
      </w:r>
      <w:r>
        <w:rPr/>
        <w:t xml:space="preserve"> Žádost o průběžné vzdělávání obsahuje údaje podle § 10c odst.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oprávnění podle odstavce 1, ke kterému se bude průběžné vzdělávání vztahovat,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kopii dokladu o posledním absolvování průběžného vzdělávání,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čestné prohlášení o tom, že nedošlo ke změně ve skutečnostech prokazujících odbornou způsobilost, v opačném případě kopie dokladů prokazujících odbornou způsobilost.</w:t>
      </w:r>
    </w:p>
    <w:p>
      <w:pPr>
        <w:ind w:left="0" w:right="0"/>
      </w:pPr>
      <w:r>
        <w:rPr>
          <w:b/>
          <w:bCs/>
        </w:rPr>
        <w:t xml:space="preserve">(9)</w:t>
      </w:r>
      <w:r>
        <w:rPr/>
        <w:t xml:space="preserve"> Vzor žádosti o udělení oprávnění, vzor žádosti o absolvování průběžného vzdělávání a náležitosti vedení evidence energetického specialisty o prováděných činnostech stanoví prováděcí právní předpis.</w:t>
      </w:r>
    </w:p>
    <w:p>
      <w:pPr>
        <w:pStyle w:val="Heading3"/>
      </w:pPr>
      <w:r>
        <w:rPr>
          <w:b/>
          <w:bCs/>
        </w:rPr>
        <w:t xml:space="preserve">§ 10a</w:t>
      </w:r>
      <w:r>
        <w:rPr>
          <w:rStyle w:val="hidden"/>
        </w:rPr>
        <w:t xml:space="preserve"> -</w:t>
      </w:r>
      <w:br/>
      <w:r>
        <w:rPr/>
        <w:t xml:space="preserve">Odborná zkouška, průběžné vzdělávání a přezkušování energetických specialistů</w:t>
      </w:r>
    </w:p>
    <w:p>
      <w:pPr>
        <w:ind w:left="0" w:right="0"/>
      </w:pPr>
      <w:r>
        <w:rPr>
          <w:b/>
          <w:bCs/>
        </w:rPr>
        <w:t xml:space="preserve">(1)</w:t>
      </w:r>
      <w:r>
        <w:rPr/>
        <w:t xml:space="preserve"> Odborná zkouška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skládá z ústní a písemné části, jejichž obsah a rozsah je stanoven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koná před zkušební komisí jmenovanou ministerstvem podle pravidel stanovených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zakončena protokolem o výsledku zkoušky, který vydává zkušební komise.</w:t>
      </w:r>
    </w:p>
    <w:p>
      <w:pPr>
        <w:ind w:left="0" w:right="0"/>
      </w:pPr>
      <w:r>
        <w:rPr>
          <w:b/>
          <w:bCs/>
        </w:rPr>
        <w:t xml:space="preserve">(2)</w:t>
      </w:r>
      <w:r>
        <w:rPr/>
        <w:t xml:space="preserve"> Průběžné vzdělávání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upevňuje, prohlubuje a aktualizuje odborné znalosti platných právních předpisů upravujících hospodaření energií, energetické náročnosti budov a energetického hospodářství, energetické účinnosti výroben energie včetně výroben energie využívající obnovitelné zdroje energie a druhotné zdroje energie a kombinovanou výrobu elektřiny a tepla, v rozsahu a podle pravidel stanovených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 organizace, popřípadě více organizací, která je pověřená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ukončeno písemným odborným testem energetického specialisty z oblastí uvedených v písmenu a); test se vykonává za účasti člena zkušební komise nebo jiné osoby jmenované ministerstvem,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zakončeno protokolem o absolvování průběžného vzdělávání, který organizace předává energetickému specialistovi a v kopii ministerstvu.</w:t>
      </w:r>
    </w:p>
    <w:p>
      <w:pPr>
        <w:ind w:left="0" w:right="0"/>
      </w:pPr>
      <w:r>
        <w:rPr>
          <w:b/>
          <w:bCs/>
        </w:rPr>
        <w:t xml:space="preserve">(3)</w:t>
      </w:r>
      <w:r>
        <w:rPr/>
        <w:t xml:space="preserve"> Požadavek průběžného vzdělávání není splněn, pokud se energetický specialista neúčastní průběžného vzdělávání, má nevyhovující výsledek písemného testu nebo nepodá žádost o účast v průběžném vzdělávání v řádném termínu.</w:t>
      </w:r>
    </w:p>
    <w:p>
      <w:pPr>
        <w:ind w:left="0" w:right="0"/>
      </w:pPr>
      <w:r>
        <w:rPr>
          <w:b/>
          <w:bCs/>
        </w:rPr>
        <w:t xml:space="preserve">(4)</w:t>
      </w:r>
      <w:r>
        <w:rPr/>
        <w:t xml:space="preserve"> Přezkušování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provádí na základě výzvy ministerstva před zkušební komisí jmenovanou ministerstvem,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nesplnění podmínek průběžného vzdělávání podle odstavce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návrh Státní energetické inspekce,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provádí na základě podkladů pro přezkušování, kterými jsou zprávy o kontrolách kotlů a rozvodů tepelné energie, zprávy o kontrolách klimatizačních systémů, energetické audity, nebo energetické posudky a průkazy, které na základě evidence činnosti energetického specialisty určí ministerstvo,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zakončeno protokolem o výsledku přezkoušení, který vydává zkušební komise.</w:t>
      </w:r>
    </w:p>
    <w:p>
      <w:pPr>
        <w:ind w:left="0" w:right="0"/>
      </w:pPr>
      <w:r>
        <w:rPr>
          <w:b/>
          <w:bCs/>
        </w:rPr>
        <w:t xml:space="preserve">(5)</w:t>
      </w:r>
      <w:r>
        <w:rPr/>
        <w:t xml:space="preserve"> Ministerstvo pověří organizaci podle odstavce 2 písm. b) na žádost organizace,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 odbornou úroveň pravidel pro průběžné vzdělávání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prokáže neexistenci finančních nebo jiných zájmů, které by mohly ovlivnit výsledky její činnosti,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vyčíslí cenu odborného kurzu tvořenou náklady a přiměřeným ziskem,</w:t>
      </w:r>
    </w:p>
    <w:p>
      <w:pPr>
        <w:ind w:left="0" w:right="0"/>
      </w:pPr>
      <w:r>
        <w:rPr/>
        <w:t xml:space="preserve">a to na dobu 4 let; po skončení této doby může ministerstvo na žádost organizace dobu jejího pověření prodloužit, a to i opakovaně.</w:t>
      </w:r>
    </w:p>
    <w:p>
      <w:pPr>
        <w:ind w:left="0" w:right="0"/>
      </w:pPr>
      <w:r>
        <w:rPr>
          <w:b/>
          <w:bCs/>
        </w:rPr>
        <w:t xml:space="preserve">(6)</w:t>
      </w:r>
      <w:r>
        <w:rPr/>
        <w:t xml:space="preserve"> Neplní-li pověřená organizace povinnosti stanovené v tomto zákoně, ministerstvo rozhodne o zrušení pověření organizace k průběžnému vzdělávání.</w:t>
      </w:r>
    </w:p>
    <w:p>
      <w:pPr>
        <w:ind w:left="0" w:right="0"/>
      </w:pPr>
      <w:r>
        <w:rPr>
          <w:b/>
          <w:bCs/>
        </w:rPr>
        <w:t xml:space="preserve">(7)</w:t>
      </w:r>
      <w:r>
        <w:rPr/>
        <w:t xml:space="preserve"> Obsah a rozsah odborné zkoušky, obsah a rozsah průběžného vzdělávání a přezkušování, pravidla a jednání zkušební komise a organizace pořádající průběžné vzdělávání stanoví prováděcí právní předpis.</w:t>
      </w:r>
    </w:p>
    <w:p>
      <w:pPr>
        <w:pStyle w:val="Heading3"/>
      </w:pPr>
      <w:r>
        <w:rPr>
          <w:b/>
          <w:bCs/>
        </w:rPr>
        <w:t xml:space="preserve">§ 10b</w:t>
      </w:r>
      <w:r>
        <w:rPr>
          <w:rStyle w:val="hidden"/>
        </w:rPr>
        <w:t xml:space="preserve"> -</w:t>
      </w:r>
      <w:br/>
      <w:r>
        <w:rPr/>
        <w:t xml:space="preserve">Vydání a zrušení oprávnění a zápis energetického specialisty do seznamu energetických specialistů</w:t>
      </w:r>
    </w:p>
    <w:p>
      <w:pPr>
        <w:ind w:left="0" w:right="0"/>
      </w:pPr>
      <w:r>
        <w:rPr>
          <w:b/>
          <w:bCs/>
        </w:rPr>
        <w:t xml:space="preserve">(1)</w:t>
      </w:r>
      <w:r>
        <w:rPr/>
        <w:t xml:space="preserve"> Ministerstvo udělí oprávnění tomu žadateli, který splní podmínky pro udělení oprávnění, a zapíše jej do seznamu energetických specialistů.</w:t>
      </w:r>
    </w:p>
    <w:p>
      <w:pPr>
        <w:ind w:left="0" w:right="0"/>
      </w:pPr>
      <w:r>
        <w:rPr>
          <w:b/>
          <w:bCs/>
        </w:rPr>
        <w:t xml:space="preserve">(2)</w:t>
      </w:r>
      <w:r>
        <w:rPr/>
        <w:t xml:space="preserve"> Pokud ministerstvo žádost zamítne, opakovanou žádost o udělení oprávnění může uchazeč podat po uplynutí 1 roku od doručení rozhodnutí ministerstva o zamítnutí žádosti. V případě, že uchazeč v žádosti uvedl nepravdivé informace prokazující jeho odbornou způsobilost, může uchazeč znovu podat žádost po uplynutí 6 let od podání původní žádosti.</w:t>
      </w:r>
    </w:p>
    <w:p>
      <w:pPr>
        <w:ind w:left="0" w:right="0"/>
      </w:pPr>
      <w:r>
        <w:rPr>
          <w:b/>
          <w:bCs/>
        </w:rPr>
        <w:t xml:space="preserve">(3)</w:t>
      </w:r>
      <w:r>
        <w:rPr/>
        <w:t xml:space="preserve"> Ministerstvo oprávnění zruší a vyškrtne energetického specialistu ze seznamu energetických specialistů v případě, že energetický specialista již nesplňuje podmínky pro udělení oprávnění podle § 10 odst. 2 nebo poruší povinnosti podle tohoto zákona. Oprávnění zaniká smrtí energetického speciality nebo jeho prohlášením za mrtvého; v tom případě ministerstvo vyškrtne energetického specialistu ze seznamu energetických specialistů.</w:t>
      </w:r>
    </w:p>
    <w:p>
      <w:pPr>
        <w:ind w:left="0" w:right="0"/>
      </w:pPr>
      <w:r>
        <w:rPr>
          <w:b/>
          <w:bCs/>
        </w:rPr>
        <w:t xml:space="preserve">(4)</w:t>
      </w:r>
      <w:r>
        <w:rPr/>
        <w:t xml:space="preserve"> Energetický specialista je po doručení rozhodnutí ministerstva o zrušení oprávnění povinen okamžitě ukončit činnost, pro kterou mu bylo zrušeno oprávnění;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oprávnění a datum zápisu, popřípadě datum vyškrtnutí,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(telefon, fax, elektronická adresa),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obchodní firma nebo jméno a příjmení podnikatele, identifikační číslo osoby, adresa sídla nebo místa podnikání a kontaktní údaje, pokud energetický specialista není osobou samostatně výdělečně činnou,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absolvování průběžného vzdělávání.</w:t>
      </w:r>
    </w:p>
    <w:p>
      <w:pPr>
        <w:ind w:left="0" w:right="0"/>
      </w:pPr>
      <w:r>
        <w:rPr>
          <w:b/>
          <w:bCs/>
        </w:rPr>
        <w:t xml:space="preserve">(2)</w:t>
      </w:r>
      <w:r>
        <w:rPr/>
        <w:t xml:space="preserve"> Údaje ze seznamu energetických specialistů jsou veřejně přístupné na internetových stránkách ministerstva.</w:t>
      </w:r>
    </w:p>
    <w:p>
      <w:pPr>
        <w:ind w:left="0" w:right="0"/>
      </w:pPr>
      <w:r>
        <w:rPr>
          <w:b/>
          <w:bCs/>
        </w:rPr>
        <w:t xml:space="preserve">(3)</w:t>
      </w:r>
      <w:r>
        <w:rPr/>
        <w:t xml:space="preserve"> Ministerstvo vnitra nebo Policie České republiky poskytuje ministerstvu pro účely správního řízení o udělení a zrušení oprávnění energetických specialistů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(4)</w:t>
      </w:r>
      <w:r>
        <w:rPr/>
        <w:t xml:space="preserve"> Poskytovanými údaji podle odstavce 3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(5)</w:t>
      </w:r>
      <w:r>
        <w:rPr/>
        <w:t xml:space="preserve"> Poskytovanými údaji podle odstavce 3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(6)</w:t>
      </w:r>
      <w:r>
        <w:rPr/>
        <w:t xml:space="preserve"> Poskytovanými údaji podle odstavce 3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Z poskytovaných údajů lze v konkrétním případě použít vždy jen takové údaje, které jsou nezbytné ke splnění daného úkolu.</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Osobou oprávněnou provádět instalace vybraných zařízení vyrábějících energii z obnovitelných zdrojů (dále jen „osoba oprávněná provést instalaci“) je fyzická osoba, která je držitelem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živnostenského oprávnění pro vodoinstalatérství a topenářství, pro montáž, opravy a rekonstrukce chladicích zařízení a tepelných čerpadel, pro montáž, opravy, revize a zkoušky elektrických zařízení nebo pro kamnářství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příslušného osvědčení o získání profesní kvalifikace podle zákona o uznávání výsledků dalšího vzdělávání ne staršího než 5 let.</w:t>
      </w:r>
    </w:p>
    <w:p>
      <w:pPr>
        <w:ind w:left="0" w:right="0"/>
      </w:pPr>
      <w:r>
        <w:rPr>
          <w:b/>
          <w:bCs/>
        </w:rPr>
        <w:t xml:space="preserve">(2)</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pStyle w:val="Heading3"/>
      </w:pPr>
      <w:r>
        <w:rPr>
          <w:b/>
          <w:bCs/>
        </w:rPr>
        <w:t xml:space="preserve">§ 10e</w:t>
      </w:r>
    </w:p>
    <w:p>
      <w:pPr>
        <w:jc w:val="center"/>
        <w:ind w:left="0" w:right="0"/>
      </w:pPr>
      <w:r>
        <w:rPr/>
        <w:t xml:space="preserve">zrušen zákonem č. </w:t>
      </w:r>
      <w:hyperlink r:id="rId7" w:history="1">
        <w:r>
          <w:rPr>
            <w:color w:val="darkblue"/>
            <w:u w:val="single"/>
          </w:rPr>
          <w:t xml:space="preserve">310/2013 Sb.</w:t>
        </w:r>
      </w:hyperlink>
      <w:r>
        <w:rPr/>
        <w:t xml:space="preserve"> (účinnost: 2. října 2013)</w:t>
      </w:r>
    </w:p>
    <w:p>
      <w:pPr>
        <w:pStyle w:val="Heading3"/>
      </w:pPr>
      <w:r>
        <w:rPr>
          <w:b/>
          <w:bCs/>
        </w:rPr>
        <w:t xml:space="preserve">§ 10f</w:t>
      </w:r>
    </w:p>
    <w:p>
      <w:pPr>
        <w:jc w:val="center"/>
        <w:ind w:left="0" w:right="0"/>
      </w:pPr>
      <w:r>
        <w:rPr/>
        <w:t xml:space="preserve">zrušen zákonem č. </w:t>
      </w:r>
      <w:hyperlink r:id="rId7" w:history="1">
        <w:r>
          <w:rPr>
            <w:color w:val="darkblue"/>
            <w:u w:val="single"/>
          </w:rPr>
          <w:t xml:space="preserve">310/2013 Sb.</w:t>
        </w:r>
      </w:hyperlink>
      <w:r>
        <w:rPr/>
        <w:t xml:space="preserve"> (účinnost: 2. října 2013)</w:t>
      </w:r>
    </w:p>
    <w:p>
      <w:pPr>
        <w:pStyle w:val="Heading3"/>
      </w:pPr>
      <w:r>
        <w:rPr>
          <w:b/>
          <w:bCs/>
        </w:rPr>
        <w:t xml:space="preserve">§ 10g</w:t>
      </w:r>
    </w:p>
    <w:p>
      <w:pPr>
        <w:jc w:val="center"/>
        <w:ind w:left="0" w:right="0"/>
      </w:pPr>
      <w:r>
        <w:rPr/>
        <w:t xml:space="preserve">zrušen zákonem č. </w:t>
      </w:r>
      <w:hyperlink r:id="rId7" w:history="1">
        <w:r>
          <w:rPr>
            <w:color w:val="darkblue"/>
            <w:u w:val="single"/>
          </w:rPr>
          <w:t xml:space="preserve">310/2013 Sb.</w:t>
        </w:r>
      </w:hyperlink>
      <w:r>
        <w:rPr/>
        <w:t xml:space="preserve"> (účinnost: 2. října 2013)</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Národní akční plán energetické účinnosti, provádí jeho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zpracovává Národní akční plán na zvýšení počtu budov s téměř nulovou spotřebou energie, provádí jeho aktualizaci a vyhodnocení,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a využívání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a vede seznam energetických specialistů,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jmenuje zkušební komisi, která provádí odbornou zkoušku a přezkušování energetických specialistů, a stanovuje pravidla jednání této zkušební komise,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pověřuje organizaci, která provádí průběžné vzdělávání energetických specialistů, a stanovuje pravidla jednání této organizace,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a aktualizuje informace ohledně jednotlivých forem podpory pro úspory energie a pro zařízení využívající energii z obnovitelných a druhotných zdrojů energie.</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8"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činnost osoby oprávněné provést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kotlů s výkonem nad 20 kW a rozvodů tepelné energie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klimatizačního systému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vlastník budovy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 odst. 1 nebo 3, nebo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uživatel neumožní instalaci, údržbu nebo kontrolu přístrojů regulujících dodávku tepelné energie konečným uživatelům podle § 7 odst. 4 písm. a).</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Kč, jde-li o přestupek podle odstavce 1 písm. i) nebo 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100 000 Kč, jde-li o přestupek podle odstavce 1 písm. a), b), c), d), e), f), g) nebo h).</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osoby oprávněné provést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společenství vlastníků jednotek vlastnící kotle se jmenovitým výkonem nad 20 kW a rozvody tepelné energie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nebo společenství vlastníků jednotek vlastnící klimatizační systém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nepodrobí budovu nebo energetické hospodářství energetickému auditu podle § 9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2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neabsolvuje průběžné vzdělávání podle § 10 odst. 7, nebo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okamžitě neukončí činnost podle § 10b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výrobce elektřiny nesplní některou z povinností podle § 6 odst. 4 nebo 5.</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 poruší některou z povinností podle § 8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poruší některou z povinností podle § 8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poruší některou z povinností podle § 8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94 odst. 2 písm. c), d) nebo e) energetického zákona,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94 odst. 2 písm. c), d) nebo e) energetického zákona.</w:t>
      </w:r>
    </w:p>
    <w:p>
      <w:pPr>
        <w:ind w:left="0" w:right="0"/>
      </w:pPr>
      <w:r>
        <w:rPr>
          <w:b/>
          <w:bCs/>
        </w:rPr>
        <w:t xml:space="preserve">(3)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Kč, jde-li o správní delikt podle odstavce 1 písm. a), c), d), e), f), g), l) nebo m) bodů 5, 6 nebo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správní delikt podle odstavce 1 písm. b), h), i), j) nebo podle odstavce 1 písm. k) bodu 2 nebo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5 000 000 Kč, jde-li o správní delikt podle odstavce 1 písm. k) bodu 1 nebo 3, odstavce 1 písm. m) bodů 1, 2, 3 nebo 4 nebo odstavce 1 písm. n) nebo podle odstavce 2.</w:t>
      </w:r>
    </w:p>
    <w:p>
      <w:pPr>
        <w:ind w:left="0" w:right="0"/>
      </w:pPr>
      <w:r>
        <w:rPr>
          <w:b/>
          <w:bCs/>
        </w:rPr>
        <w:t xml:space="preserve">(4)</w:t>
      </w:r>
      <w:r>
        <w:rPr/>
        <w:t xml:space="preserve"> zrušen zákonem č. </w:t>
      </w:r>
      <w:hyperlink r:id="rId8" w:history="1">
        <w:r>
          <w:rPr>
            <w:color w:val="darkblue"/>
            <w:u w:val="single"/>
          </w:rPr>
          <w:t xml:space="preserve">318/2012 Sb.</w:t>
        </w:r>
      </w:hyperlink>
      <w:r>
        <w:rPr/>
        <w:t xml:space="preserve">( účinnost: 1. ledna 2013)</w:t>
      </w:r>
    </w:p>
    <w:p>
      <w:pPr>
        <w:ind w:left="0" w:right="0"/>
      </w:pPr>
      <w:r>
        <w:rPr>
          <w:b/>
          <w:bCs/>
        </w:rPr>
        <w:t xml:space="preserve">(5)</w:t>
      </w:r>
      <w:r>
        <w:rPr/>
        <w:t xml:space="preserve"> zrušen zákonem č. </w:t>
      </w:r>
      <w:hyperlink r:id="rId8"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8"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 při ochraně zájmů chráněných tímto zákonem v řízeních, která provádí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na základě žádosti stavebníka závazná stanoviska, vzor žádosti a rozsah závazného stanoviska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podle odstavce 3 a závazné stanovisko podle odstavce 2 ministerstvo nebo Státní energetická inspekce.</w:t>
      </w:r>
    </w:p>
    <w:p>
      <w:pPr>
        <w:ind w:left="0" w:right="0"/>
      </w:pPr>
      <w:r>
        <w:rPr>
          <w:b/>
          <w:bCs/>
        </w:rPr>
        <w:t xml:space="preserve">(5)</w:t>
      </w:r>
      <w:r>
        <w:rPr/>
        <w:t xml:space="preserve"> Ministerstvo obrany jako dotčený orgán státní správy uplatňuje závazná stanoviska podle tohoto zákona v územním řízení a stavebním řízení u staveb důležitých pro obranu státu</w:t>
      </w:r>
      <w:r>
        <w:rPr>
          <w:vertAlign w:val="superscript"/>
        </w:rPr>
        <w:t xml:space="preserve">17</w:t>
      </w:r>
      <w:r>
        <w:rPr/>
        <w:t xml:space="preserv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upravuje zvláštní zákon</w:t>
      </w:r>
      <w:r>
        <w:rPr>
          <w:vertAlign w:val="superscript"/>
        </w:rPr>
        <w:t xml:space="preserve">2</w:t>
      </w:r>
      <w:r>
        <w:rPr/>
        <w:t xml:space="preserv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 a § 13.</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51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9"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pPr>
      <w:r>
        <w:rPr>
          <w:sz w:val="19.200000000000003"/>
          <w:szCs w:val="19.200000000000003"/>
        </w:rPr>
        <w:t xml:space="preserve">Směrnice Evropského parlamentu a Rady </w:t>
      </w:r>
      <w:hyperlink r:id="rId10"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1" w:history="1">
        <w:r>
          <w:rPr>
            <w:color w:val="darkblue"/>
            <w:u w:val="single"/>
          </w:rPr>
          <w:t xml:space="preserve">2001/77/ES</w:t>
        </w:r>
      </w:hyperlink>
      <w:r>
        <w:rPr>
          <w:sz w:val="19.200000000000003"/>
          <w:szCs w:val="19.200000000000003"/>
        </w:rPr>
        <w:t xml:space="preserve"> a </w:t>
      </w:r>
      <w:hyperlink r:id="rId12"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4"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5"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8"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9"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0"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21"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22"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3"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2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5"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6"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2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28"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29"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0"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Zákon č. </w:t>
      </w:r>
      <w:hyperlink r:id="rId31"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3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7"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33"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4"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26"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2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36"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37"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38"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40"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41"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41"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318/2012 Sb. z </w:t>
          </w:r>
          <w:r>
            <w:rPr>
              <w:rStyle w:val="bold"/>
            </w:rPr>
            <w:t xml:space="preserve">1. 1. 2015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0" TargetMode="External"/><Relationship Id="rId8" Type="http://schemas.openxmlformats.org/officeDocument/2006/relationships/hyperlink" Target="https://esipa.cz/sbirka/sbsrv.dll/sb?DR=SB&amp;CP=2012s318" TargetMode="External"/><Relationship Id="rId9" Type="http://schemas.openxmlformats.org/officeDocument/2006/relationships/hyperlink" Target="https://esipa.cz/sbirka/sbsrv.dll/sb?DR=SB&amp;CP=32002L0091" TargetMode="External"/><Relationship Id="rId10" Type="http://schemas.openxmlformats.org/officeDocument/2006/relationships/hyperlink" Target="http://eur-lex.europa.eu/LexUriServ/LexUriServ.do?uri=OJ:L:2009:140:0016:01" TargetMode="External"/><Relationship Id="rId11" Type="http://schemas.openxmlformats.org/officeDocument/2006/relationships/hyperlink" Target="https://esipa.cz/sbirka/sbsrv.dll/sb?DR=SB&amp;CP=32001L0077" TargetMode="External"/><Relationship Id="rId12" Type="http://schemas.openxmlformats.org/officeDocument/2006/relationships/hyperlink" Target="https://esipa.cz/sbirka/sbsrv.dll/sb?DR=SB&amp;CP=32003L0030" TargetMode="External"/><Relationship Id="rId13" Type="http://schemas.openxmlformats.org/officeDocument/2006/relationships/hyperlink" Target="https://esipa.cz/sbirka/sbsrv.dll/sb?DR=SB&amp;CP=32009L0125" TargetMode="External"/><Relationship Id="rId14" Type="http://schemas.openxmlformats.org/officeDocument/2006/relationships/hyperlink" Target="https://esipa.cz/sbirka/sbsrv.dll/sb?DR=SB&amp;CP=32010L0030" TargetMode="External"/><Relationship Id="rId15" Type="http://schemas.openxmlformats.org/officeDocument/2006/relationships/hyperlink" Target="http://eur-lex.europa.eu/LexUriServ/LexUriServ.do?uri=OJ:L:2010:153:0013:01" TargetMode="External"/><Relationship Id="rId16" Type="http://schemas.openxmlformats.org/officeDocument/2006/relationships/hyperlink" Target="https://esipa.cz/sbirka/sbsrv.dll/sb?DR=SB&amp;CP=2001s185" TargetMode="External"/><Relationship Id="rId17" Type="http://schemas.openxmlformats.org/officeDocument/2006/relationships/hyperlink" Target="https://esipa.cz/sbirka/sbsrv.dll/sb?DR=SB&amp;CP=2000s458" TargetMode="External"/><Relationship Id="rId18" Type="http://schemas.openxmlformats.org/officeDocument/2006/relationships/hyperlink" Target="https://esipa.cz/sbirka/sbsrv.dll/sb?DR=SB&amp;CP=2001s195" TargetMode="External"/><Relationship Id="rId19" Type="http://schemas.openxmlformats.org/officeDocument/2006/relationships/hyperlink" Target="https://esipa.cz/sbirka/sbsrv.dll/sb?DR=SB&amp;CP=1992s017" TargetMode="External"/><Relationship Id="rId20" Type="http://schemas.openxmlformats.org/officeDocument/2006/relationships/hyperlink" Target="https://esipa.cz/sbirka/sbsrv.dll/sb?DR=SB&amp;CP=2006s183" TargetMode="External"/><Relationship Id="rId21" Type="http://schemas.openxmlformats.org/officeDocument/2006/relationships/hyperlink" Target="https://esipa.cz/sbirka/sbsrv.dll/sb?DR=SB&amp;CP=2007s393" TargetMode="External"/><Relationship Id="rId22" Type="http://schemas.openxmlformats.org/officeDocument/2006/relationships/hyperlink" Target="https://esipa.cz/sbirka/sbsrv.dll/sb?DR=SB&amp;CP=2012s165" TargetMode="External"/><Relationship Id="rId23" Type="http://schemas.openxmlformats.org/officeDocument/2006/relationships/hyperlink" Target="https://esipa.cz/sbirka/sbsrv.dll/sb?DR=SB&amp;CP=1994s072" TargetMode="External"/><Relationship Id="rId24" Type="http://schemas.openxmlformats.org/officeDocument/2006/relationships/hyperlink" Target="https://esipa.cz/sbirka/sbsrv.dll/sb?DR=SB&amp;CP=2004s018" TargetMode="External"/><Relationship Id="rId25" Type="http://schemas.openxmlformats.org/officeDocument/2006/relationships/hyperlink" Target="https://esipa.cz/sbirka/sbsrv.dll/sb?DR=SB&amp;CP=2001s291" TargetMode="External"/><Relationship Id="rId26" Type="http://schemas.openxmlformats.org/officeDocument/2006/relationships/hyperlink" Target="https://esipa.cz/sbirka/sbsrv.dll/sb?DR=SB&amp;CP=2004s442" TargetMode="External"/><Relationship Id="rId27" Type="http://schemas.openxmlformats.org/officeDocument/2006/relationships/hyperlink" Target="https://esipa.cz/sbirka/sbsrv.dll/sb?DR=SB&amp;CP=1997s022" TargetMode="External"/><Relationship Id="rId28" Type="http://schemas.openxmlformats.org/officeDocument/2006/relationships/hyperlink" Target="https://esipa.cz/sbirka/sbsrv.dll/sb?DR=SB&amp;CP=2000s291" TargetMode="External"/><Relationship Id="rId29" Type="http://schemas.openxmlformats.org/officeDocument/2006/relationships/hyperlink" Target="https://esipa.cz/sbirka/sbsrv.dll/sb?DR=SB&amp;CP=32000R1980" TargetMode="External"/><Relationship Id="rId30" Type="http://schemas.openxmlformats.org/officeDocument/2006/relationships/hyperlink" Target="https://esipa.cz/sbirka/sbsrv.dll/sb?DR=SB&amp;CP=2001s213" TargetMode="External"/><Relationship Id="rId31" Type="http://schemas.openxmlformats.org/officeDocument/2006/relationships/hyperlink" Target="https://esipa.cz/sbirka/sbsrv.dll/sb?DR=SB&amp;CP=1964s040" TargetMode="External"/><Relationship Id="rId32" Type="http://schemas.openxmlformats.org/officeDocument/2006/relationships/hyperlink" Target="https://esipa.cz/sbirka/sbsrv.dll/sb?DR=SB&amp;CP=1994s269" TargetMode="External"/><Relationship Id="rId33" Type="http://schemas.openxmlformats.org/officeDocument/2006/relationships/hyperlink" Target="https://esipa.cz/sbirka/sbsrv.dll/sb?DR=SB&amp;CP=1976s050" TargetMode="External"/><Relationship Id="rId34" Type="http://schemas.openxmlformats.org/officeDocument/2006/relationships/hyperlink" Target="https://esipa.cz/sbirka/sbsrv.dll/sb?DR=SB&amp;CP=1967s071"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2006s501" TargetMode="External"/><Relationship Id="rId37" Type="http://schemas.openxmlformats.org/officeDocument/2006/relationships/hyperlink" Target="https://esipa.cz/sbirka/sbsrv.dll/sb?DR=SB&amp;CP=2006s499" TargetMode="External"/><Relationship Id="rId38" Type="http://schemas.openxmlformats.org/officeDocument/2006/relationships/hyperlink" Target="https://esipa.cz/sbirka/sbsrv.dll/sb?DR=SB&amp;CP=2009s268" TargetMode="External"/><Relationship Id="rId39" Type="http://schemas.openxmlformats.org/officeDocument/2006/relationships/hyperlink" Target="https://esipa.cz/sbirka/sbsrv.dll/sb?DR=SB&amp;CP=1991s455" TargetMode="External"/><Relationship Id="rId40" Type="http://schemas.openxmlformats.org/officeDocument/2006/relationships/hyperlink" Target="https://esipa.cz/sbirka/sbsrv.dll/sb?DR=SB&amp;CP=1999s222" TargetMode="External"/><Relationship Id="rId41" Type="http://schemas.openxmlformats.org/officeDocument/2006/relationships/hyperlink" Target="https://esipa.cz/sbirka/sbsrv.dll/sb?DR=SB&amp;CP=2000s406"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318/2012 Sb. z 1. 1. 2015</dc:title>
  <dc:description>Zákon o hospodaření energií</dc:description>
  <dc:subject/>
  <cp:keywords/>
  <cp:category/>
  <cp:lastModifiedBy/>
  <dcterms:created xsi:type="dcterms:W3CDTF">2015-01-01T00:00:00+01:00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