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Evropské unie</w:t>
      </w:r>
      <w:r>
        <w:rPr>
          <w:vertAlign w:val="superscript"/>
        </w:rPr>
        <w:t xml:space="preserve"> 1</w:t>
      </w:r>
      <w:r>
        <w:rPr/>
        <w:t xml:space="preserve">) (dále jen „ Unie “)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 a využití obnovitelných zdrojů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energetických spotřebičů,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uvádění spotřeby energie a jiných hlavních zdrojů na energetických štítcích výrobků spojených se spotřebou energie.</w:t>
      </w:r>
    </w:p>
    <w:p>
      <w:pPr>
        <w:pStyle w:val="Heading3"/>
      </w:pPr>
      <w:r>
        <w:rPr>
          <w:b/>
          <w:bCs/>
        </w:rPr>
        <w:t xml:space="preserve">§ 2</w:t>
      </w:r>
      <w:r>
        <w:rPr>
          <w:rStyle w:val="hidden"/>
        </w:rPr>
        <w:t xml:space="preserve"> -</w:t>
      </w:r>
      <w:br/>
      <w:r>
        <w:rPr/>
        <w:t xml:space="preserve">Základní pojmy</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obnovitelnými zdroji obnovitelné nefosilní přírodní zdroje energie, jimiž jsou energie větru, energie slunečního záření, geotermální energie, energie vody, energie půdy, energie vzduchu, energie biomasy, energie skládkového plynu, energie kalového plynu a energie bioplynu,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druhotným energetickým zdrojem využitelný energetický zdroj, jehož energetický potenciál vzniká jako vedlejší produkt při přeměně a konečné spotřebě energie, při uvolňování z bituminózních hornin nebo při energetickém využívání nebo odstraňování odpadů a náhradních paliv vyrobených na bázi odpadů nebo při jiné hospodářské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soubor technických zařízení a budov sloužících k nakládání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energetických procesů, vyjádřená poměrem mezi úhrnnými energetickými výstupy a vstupy téhož procesu,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u existujících staveb množství energie skutečně spotřebované, u projektů nových staveb nebo projektů změn staveb, na něž je vydáno stavební povolení, vypočtené množství energie pro splnění požadavků na standardizované užívání budovy, zejména na vytápění, přípravu teplé vody, chlazení, úpravu vzduchu větráním a úpravu parametrů vnitřního prostředí klimatizačním systémem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kombinovanou výrobou elektřiny a tepla přeměna primární energie na energii elektrickou a užitečné teplo ve společném současně probíhajícím procesu v jednom výrobním zařízení,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klimatizačním systémem soubor všech zařízení a prvků na úpravu parametrů vnitřního prostředí spojené s ohřevem, chlazením, zvlhčováním a filtrací vzduchu, které jsou součástí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vytápěním proces sdílení tepla do vytápěného prostoru zajišťovaný příslušným technickým zařízením za účelem vytváření tepelné pohody či požadovaných standardů vnitřního prostředí, který se člení na ústřední vytápění, bytové individuální vytápění a lokální vytápění,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vytápění, kde zdroj tepla je umístěn mimo vytápěné prostory a slouží pro vytápění více 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kotle množství tepelné energie udané výrobcem, které kotel předává trvale v teplonosné látce při stanovených podmínkách v ustáleném stavu,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klimatizačního systému jmenovitý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budovy průkaz, který obsahuje informace o energetické náročnosti budovy vypočtené podle metody stanovené prováděcím právním předpisem,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soubor činností, jejichž výsledkem jsou informace o způsobech a úrovni využívání energie v budovách a v energetickém hospodářství prověřovaných fyzických a právnických osob a návrh na opatření, která je třeba realizovat pro dosažení energetických úspor,</w:t>
      </w:r>
    </w:p>
    <w:p>
      <w:pPr>
        <w:ind w:left="560" w:right="0" w:hanging="560"/>
        <w:tabs>
          <w:tab w:val="right" w:leader="none" w:pos="500"/>
          <w:tab w:val="left" w:leader="none" w:pos="560"/>
        </w:tabs>
      </w:pPr>
      <w:r>
        <w:rPr/>
        <w:t xml:space="preserve">	</w:t>
      </w:r>
      <w:r>
        <w:rPr>
          <w:b/>
          <w:bCs/>
        </w:rPr>
        <w:t xml:space="preserve">o)</w:t>
      </w:r>
      <w:r>
        <w:rPr/>
        <w:t xml:space="preserve">	</w:t>
      </w:r>
      <w:r>
        <w:rPr/>
        <w:t xml:space="preserve">budovou zastřešená stavba se stěnami, v níž se používá energie k úpravě vnitřního prostředí; za budovu se může považovat budova jako celek nebo ty její části, které byly navrženy nebo upraveny pro samostatné užívání,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celkovou podlahovou plochou podlahová plocha všech podlaží budovy vymezená mezi vnějšími stěnami, bez neobyvatelných sklepů a oddělených nevytápěných prostor,</w:t>
      </w:r>
    </w:p>
    <w:p>
      <w:pPr>
        <w:ind w:left="560" w:right="0" w:hanging="560"/>
        <w:tabs>
          <w:tab w:val="right" w:leader="none" w:pos="500"/>
          <w:tab w:val="left" w:leader="none" w:pos="560"/>
        </w:tabs>
      </w:pPr>
      <w:r>
        <w:rPr/>
        <w:t xml:space="preserve">	</w:t>
      </w:r>
      <w:r>
        <w:rPr>
          <w:b/>
          <w:bCs/>
        </w:rPr>
        <w:t xml:space="preserve">q)</w:t>
      </w:r>
      <w:r>
        <w:rPr/>
        <w:t xml:space="preserve">	</w:t>
      </w:r>
      <w:r>
        <w:rPr/>
        <w:t xml:space="preserve">větší změnou dokončené budovy taková změna dokončené budovy, která probíhá více než 25 % celkové plochy obvodového pláště budovy, nebo taková změna technických zařízení budovy s energetickými účinky, kde výchozí součet ovlivněných spotřeb energií je vyšší než 25 % celkové spotřeby energie.</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zrušeno zákonem č. </w:t>
      </w:r>
      <w:hyperlink r:id="rId7" w:history="1">
        <w:r>
          <w:rPr>
            <w:color w:val="darkblue"/>
            <w:u w:val="single"/>
          </w:rPr>
          <w:t xml:space="preserve">299/2011 Sb.</w:t>
        </w:r>
      </w:hyperlink>
      <w:r>
        <w:rPr/>
        <w:t xml:space="preserve"> (účinnost: 13. listopadu 2011)</w:t>
      </w:r>
    </w:p>
    <w:p>
      <w:pPr>
        <w:ind w:left="560" w:right="0" w:hanging="560"/>
        <w:tabs>
          <w:tab w:val="right" w:leader="none" w:pos="500"/>
          <w:tab w:val="left" w:leader="none" w:pos="560"/>
        </w:tabs>
      </w:pPr>
      <w:r>
        <w:rPr/>
        <w:t xml:space="preserve">	</w:t>
      </w:r>
      <w:r>
        <w:rPr>
          <w:b/>
          <w:bCs/>
        </w:rPr>
        <w:t xml:space="preserve">s)</w:t>
      </w:r>
      <w:r>
        <w:rPr/>
        <w:t xml:space="preserve">	</w:t>
      </w:r>
      <w:r>
        <w:rPr/>
        <w:t xml:space="preserve">zrušeno zákonem č. </w:t>
      </w:r>
      <w:hyperlink r:id="rId7" w:history="1">
        <w:r>
          <w:rPr>
            <w:color w:val="darkblue"/>
            <w:u w:val="single"/>
          </w:rPr>
          <w:t xml:space="preserve">299/2011 Sb.</w:t>
        </w:r>
      </w:hyperlink>
      <w:r>
        <w:rPr/>
        <w:t xml:space="preserve"> (účinnost: 13. listopadu 2011)</w:t>
      </w:r>
    </w:p>
    <w:p>
      <w:pPr>
        <w:ind w:left="560" w:right="0" w:hanging="560"/>
        <w:tabs>
          <w:tab w:val="right" w:leader="none" w:pos="500"/>
          <w:tab w:val="left" w:leader="none" w:pos="560"/>
        </w:tabs>
      </w:pPr>
      <w:r>
        <w:rPr/>
        <w:t xml:space="preserve">	</w:t>
      </w:r>
      <w:r>
        <w:rPr>
          <w:b/>
          <w:bCs/>
        </w:rPr>
        <w:t xml:space="preserve">t)</w:t>
      </w:r>
      <w:r>
        <w:rPr/>
        <w:t xml:space="preserve">	</w:t>
      </w:r>
      <w:r>
        <w:rPr/>
        <w:t xml:space="preserve">zrušeno zákonem č. </w:t>
      </w:r>
      <w:hyperlink r:id="rId7" w:history="1">
        <w:r>
          <w:rPr>
            <w:color w:val="darkblue"/>
            <w:u w:val="single"/>
          </w:rPr>
          <w:t xml:space="preserve">299/2011 Sb.</w:t>
        </w:r>
      </w:hyperlink>
      <w:r>
        <w:rPr/>
        <w:t xml:space="preserve"> (účinnost: 13. listopadu 2011)</w:t>
      </w:r>
    </w:p>
    <w:p>
      <w:pPr>
        <w:ind w:left="560" w:right="0" w:hanging="560"/>
        <w:tabs>
          <w:tab w:val="right" w:leader="none" w:pos="500"/>
          <w:tab w:val="left" w:leader="none" w:pos="560"/>
        </w:tabs>
      </w:pPr>
      <w:r>
        <w:rPr/>
        <w:t xml:space="preserve">	</w:t>
      </w:r>
      <w:r>
        <w:rPr>
          <w:b/>
          <w:bCs/>
        </w:rPr>
        <w:t xml:space="preserve">u)</w:t>
      </w:r>
      <w:r>
        <w:rPr/>
        <w:t xml:space="preserve">	</w:t>
      </w:r>
      <w:r>
        <w:rPr/>
        <w:t xml:space="preserve">zrušeno zákonem č. </w:t>
      </w:r>
      <w:hyperlink r:id="rId7" w:history="1">
        <w:r>
          <w:rPr>
            <w:color w:val="darkblue"/>
            <w:u w:val="single"/>
          </w:rPr>
          <w:t xml:space="preserve">299/2011 Sb.</w:t>
        </w:r>
      </w:hyperlink>
      <w:r>
        <w:rPr/>
        <w:t xml:space="preserve"> (účinnost: 13. listopadu 2011)</w:t>
      </w:r>
    </w:p>
    <w:p>
      <w:pPr>
        <w:ind w:left="560" w:right="0" w:hanging="560"/>
        <w:tabs>
          <w:tab w:val="right" w:leader="none" w:pos="500"/>
          <w:tab w:val="left" w:leader="none" w:pos="560"/>
        </w:tabs>
      </w:pPr>
      <w:r>
        <w:rPr/>
        <w:t xml:space="preserve">	</w:t>
      </w:r>
      <w:r>
        <w:rPr>
          <w:b/>
          <w:bCs/>
        </w:rPr>
        <w:t xml:space="preserve">v)</w:t>
      </w:r>
      <w:r>
        <w:rPr/>
        <w:t xml:space="preserve">	</w:t>
      </w:r>
      <w:r>
        <w:rPr/>
        <w:t xml:space="preserve">zrušeno zákonem č. </w:t>
      </w:r>
      <w:hyperlink r:id="rId7" w:history="1">
        <w:r>
          <w:rPr>
            <w:color w:val="darkblue"/>
            <w:u w:val="single"/>
          </w:rPr>
          <w:t xml:space="preserve">299/2011 Sb.</w:t>
        </w:r>
      </w:hyperlink>
      <w:r>
        <w:rPr/>
        <w:t xml:space="preserve"> (účinnost: 13. listopadu 2011)</w:t>
      </w:r>
    </w:p>
    <w:p>
      <w:pPr>
        <w:ind w:left="560" w:right="0" w:hanging="560"/>
        <w:tabs>
          <w:tab w:val="right" w:leader="none" w:pos="500"/>
          <w:tab w:val="left" w:leader="none" w:pos="560"/>
        </w:tabs>
      </w:pPr>
      <w:r>
        <w:rPr/>
        <w:t xml:space="preserve">	</w:t>
      </w:r>
      <w:r>
        <w:rPr>
          <w:b/>
          <w:bCs/>
        </w:rPr>
        <w:t xml:space="preserve">w)</w:t>
      </w:r>
      <w:r>
        <w:rPr/>
        <w:t xml:space="preserve">	</w:t>
      </w:r>
      <w:r>
        <w:rPr/>
        <w:t xml:space="preserve">zrušeno zákonem č. </w:t>
      </w:r>
      <w:hyperlink r:id="rId7" w:history="1">
        <w:r>
          <w:rPr>
            <w:color w:val="darkblue"/>
            <w:u w:val="single"/>
          </w:rPr>
          <w:t xml:space="preserve">299/2011 Sb.</w:t>
        </w:r>
      </w:hyperlink>
      <w:r>
        <w:rPr/>
        <w:t xml:space="preserve"> (účinnost: 13. listopadu 2011)</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spojeným se spotřebou energie výrobek, jenž má při používání dopad na spotřebu energie a jenž je uveden na trh nebo do provozu, a dále části, které jsou určeny k zabudování do výrobku spojeného se spotřebou energie a které jsou uváděny na trh anebo do provozu jako jednotlivé části pro konečné uživatele a jejichž vliv na životní prostředí lze posoudit samostatně,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součástmi a podsestavami části určené k zabudování do výrobku spojeného se spotřebou energie,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energetickým štítkem označení výrobku spojeného se spotřebou energie, které obsahuje údaje o spotřebě energie a jiných hlavních zdrojů spotřebovaných v souvislosti s tímto výrobkem,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informačním listem normalizovaný přehled informací týkající se výrobku spojeného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ekodesignem začlenění prvků nebo funkcí výrobku spojeného se spotřebou energie, které mohou mít vliv na životní prostředí během životního cyklu tohoto výrobku, do návrhu výrobku spojeného se spotřebou energie s cílem zlepšit vliv výrobku na životní prostředí během celého životního cyklu,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jinými hlavními zdroji voda, chemikálie nebo jakékoli jiné látky spotřebované výrobkem při běžném používání,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uvedením na trh první zpřístupnění výrobku spojeného se spotřebou energie na trhu Unie za účelem jeho distribuce nebo používání v Unii za úplatu, bez ohledu na způsob prodeje, nebo bezúplatně,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uvedením do provozu první použití výrobku spojeného se spotřebou energie uživatelem v členském státě Unie k účelu, pro který byl zhotoven,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výrobcem osoba vyrábějící výrobek spojený se spotřebou energie a která hodlá uvést výrobek na trh nebo do provozu, a to pod svým jménem, popřípadě obchodním označením,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zplnomocněným zástupcem osoba usazená v Unii, která byla výrobcem písemně pověřena k tomu, aby jeho jménem plnila zcela nebo zčásti povinnosti vyplývající z tohoto zákona,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dovozcem osoba usazená v Unii, která uvádí na trh nebo do provozu v Unii výrobek spojený se spotřebou energie ze třetí země,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dodavatelem výrobce nebo jeho zplnomocněný zástupce v Unii nebo dovozce, uvádějící výrobek spojený se spotřebou energie na trh nebo do provozu v Unii; pokud tito neexistují, považuje se za dodavatele jakákoli osoba, která uvádí na trh nebo do provozu v Unii výrobky spojené se spotřebou energie, na něž se vztahuje tento zákon,</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obchodníkem osoba, která prodává, pronajímá, nabízí ke koupi na splátky nebo předvádí výrobky spojené se spotřebou energie konečným uživatelům.</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s výhledem na 30 let vyjadřujícím cíle státu v energetickém hospodářství v souladu s potřebami hospodářského a společenského rozvoje, včetně ochrany životního prostředí, sloužícím i pro vypracování územních energetických koncepcí.</w:t>
      </w:r>
    </w:p>
    <w:p>
      <w:pPr>
        <w:ind w:left="0" w:right="0"/>
      </w:pPr>
      <w:r>
        <w:rPr>
          <w:b/>
          <w:bCs/>
        </w:rPr>
        <w:t xml:space="preserve">(2)</w:t>
      </w:r>
      <w:r>
        <w:rPr/>
        <w:t xml:space="preserve"> Návrh státní energetické koncepce zpracovává Ministerstvo průmyslu a obchodu (dále jen „ministerstvo“) a předkládá jej ke schválení vládě.</w:t>
      </w:r>
    </w:p>
    <w:p>
      <w:pPr>
        <w:ind w:left="0" w:right="0"/>
      </w:pPr>
      <w:r>
        <w:rPr>
          <w:b/>
          <w:bCs/>
        </w:rPr>
        <w:t xml:space="preserve">(3)</w:t>
      </w:r>
      <w:r>
        <w:rPr/>
        <w:t xml:space="preserve"> Naplňování státní energetické koncepce vyhodnocuje ministerstvo nejméně jedenkrát za 5 let a o výsledcích vyhodnocení informuje vládu. V případě potřeby ministerstvo zpracovává návrhy na změnu státní energetické koncepce a předkládá je ke schválení vládě.</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vychází ze státní energetické koncepce a obsahuje cíle a principy řešení energetického hospodářství na úrovni kraje, statutárního města a hlavního města Prahy. Vytváří podmínky pro hospodárné nakládání s energií v souladu s potřebami hospodářského a společenského rozvoje včetně ochrany životního prostředí a šetrného nakládání s přírodními zdroji energie.</w:t>
      </w:r>
    </w:p>
    <w:p>
      <w:pPr>
        <w:ind w:left="0" w:right="0"/>
      </w:pPr>
      <w:r>
        <w:rPr>
          <w:b/>
          <w:bCs/>
        </w:rPr>
        <w:t xml:space="preserve">(2)</w:t>
      </w:r>
      <w:r>
        <w:rPr/>
        <w:t xml:space="preserve"> Územní energetickou koncepci pořizuje pro svůj územní obvod krajský úřad, Magistrát hlavního města Prahy a magistráty statutárních měst (dále jen „pořizovatel“) v přenesené působnosti. Územní energetická koncepce je součástí územně plánovací dokumentace s výjimkou technických řešení navrhujících umístění staveb a zařízení.</w:t>
      </w:r>
    </w:p>
    <w:p>
      <w:pPr>
        <w:ind w:left="0" w:right="0"/>
      </w:pPr>
      <w:r>
        <w:rPr>
          <w:b/>
          <w:bCs/>
        </w:rPr>
        <w:t xml:space="preserve">(3)</w:t>
      </w:r>
      <w:r>
        <w:rPr/>
        <w:t xml:space="preserve"> Obec má právo pro svůj územní obvod nebo jeho část pořídit v přenesené působnosti územní energetickou koncepci v souladu se státní energetickou koncepcí. Územní energetická koncepce je neopomenutelným podkladem pro územní plánování.</w:t>
      </w:r>
    </w:p>
    <w:p>
      <w:pPr>
        <w:ind w:left="0" w:right="0"/>
      </w:pPr>
      <w:r>
        <w:rPr>
          <w:b/>
          <w:bCs/>
        </w:rPr>
        <w:t xml:space="preserve">(4)</w:t>
      </w:r>
      <w:r>
        <w:rPr/>
        <w:t xml:space="preserve"> Územní energetická koncepce se zpracovává na období 20 let a v případě potřeby se doplňuje a upravuje.</w:t>
      </w:r>
    </w:p>
    <w:p>
      <w:pPr>
        <w:ind w:left="0" w:right="0"/>
      </w:pPr>
      <w:r>
        <w:rPr>
          <w:b/>
          <w:bCs/>
        </w:rPr>
        <w:t xml:space="preserve">(5)</w:t>
      </w:r>
      <w:r>
        <w:rPr/>
        <w:t xml:space="preserve"> Územní energetická koncepce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rozbor trendů vývoje poptávky po energii,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rozbor možných zdrojů a způsobů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hodnocení využitelnosti obnovitelných a druhotných energetických zdrojů a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hodnocení využitelnosti energetického potenciálu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hodnocení technicky a ekonomicky dosažitelných úspor z hospodárnějšího využití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řešení energetického hospodářství území včetně zdůvodnění a návrh opatření uplatnitelných pořizovatelem koncepce.</w:t>
      </w:r>
    </w:p>
    <w:p>
      <w:pPr>
        <w:ind w:left="0" w:right="0"/>
      </w:pPr>
      <w:r>
        <w:rPr>
          <w:b/>
          <w:bCs/>
        </w:rPr>
        <w:t xml:space="preserve">(6)</w:t>
      </w:r>
      <w:r>
        <w:rPr/>
        <w:t xml:space="preserve"> K účasti na vypracování územní energetické koncepce si pořizovatel může vyžádat součinnost držitelů licence na podnikání v energetických odvětvích</w:t>
      </w:r>
      <w:r>
        <w:rPr>
          <w:vertAlign w:val="superscript"/>
        </w:rPr>
        <w:t xml:space="preserve">2</w:t>
      </w:r>
      <w:r>
        <w:rPr/>
        <w:t xml:space="preserve">), dodavatelů tuhých a kapalných paliv a zpracovatelů komunálních odpadů</w:t>
      </w:r>
      <w:r>
        <w:rPr>
          <w:vertAlign w:val="superscript"/>
        </w:rPr>
        <w:t xml:space="preserve">1b</w:t>
      </w:r>
      <w:r>
        <w:rPr/>
        <w:t xml:space="preserve">), kteří podnikají na území, pro které se územní energetická koncepce zpracovává, jakož i největších spotřebitelů energie. Ti jsou povinni, pokud jsou k tomu pořizovatelem vyzváni, pro vypracování územní energetické koncepce poskytnout bezúplatně v nutném rozsahu potřebné podklady a údaje; rozsah a lhůty pro poskytnutí podkladů a údajů stanoví prováděcí právní předpis</w:t>
      </w:r>
      <w:r>
        <w:rPr>
          <w:vertAlign w:val="superscript"/>
        </w:rPr>
        <w:t xml:space="preserve">2a</w:t>
      </w:r>
      <w:r>
        <w:rPr/>
        <w:t xml:space="preserve">).</w:t>
      </w:r>
    </w:p>
    <w:p>
      <w:pPr>
        <w:ind w:left="0" w:right="0"/>
      </w:pPr>
      <w:r>
        <w:rPr>
          <w:b/>
          <w:bCs/>
        </w:rPr>
        <w:t xml:space="preserve">(7)</w:t>
      </w:r>
      <w:r>
        <w:rPr/>
        <w:t xml:space="preserve"> Naplňování územní energetické koncepce vyhodnocuje pořizovatel nejméně jedenkrát za 4 roky a na základě vyhodnocení může zpracovávat návrhy na změnu.</w:t>
      </w:r>
    </w:p>
    <w:p>
      <w:pPr>
        <w:ind w:left="0" w:right="0"/>
      </w:pPr>
      <w:r>
        <w:rPr>
          <w:b/>
          <w:bCs/>
        </w:rPr>
        <w:t xml:space="preserve">(8)</w:t>
      </w:r>
      <w:r>
        <w:rPr/>
        <w:t xml:space="preserve"> Pořizovatel poskytuje ministerstvu na vyžádání informace o aktuálním stavu zpracování a vyhodnocení územní energetické koncepce pro účely posouzení souladu se státní energetickou koncepcí.</w:t>
      </w:r>
    </w:p>
    <w:p>
      <w:pPr>
        <w:ind w:left="0" w:right="0"/>
      </w:pPr>
      <w:r>
        <w:rPr>
          <w:b/>
          <w:bCs/>
        </w:rPr>
        <w:t xml:space="preserve">(9)</w:t>
      </w:r>
      <w:r>
        <w:rPr/>
        <w:t xml:space="preserve"> Vláda nařízením stanoví podrobnosti obsahu územní energetické koncepce podle odstavce 5.</w:t>
      </w:r>
    </w:p>
    <w:p>
      <w:pPr>
        <w:pStyle w:val="Heading2"/>
      </w:pPr>
      <w:r>
        <w:rPr>
          <w:b/>
          <w:bCs/>
        </w:rPr>
        <w:t xml:space="preserve">Hlava III</w:t>
      </w:r>
      <w:r>
        <w:rPr>
          <w:rStyle w:val="hidden"/>
        </w:rPr>
        <w:t xml:space="preserve"> -</w:t>
      </w:r>
      <w:br/>
      <w:r>
        <w:rPr>
          <w:caps/>
        </w:rPr>
        <w:t xml:space="preserve">STÁTNÍ PROGRAM NA PODPORU ÚSPOR ENERGIE A VYUŽITÍ OBNOVITELNÝCH ZDROJŮ ENERGIE</w:t>
      </w:r>
    </w:p>
    <w:p>
      <w:pPr>
        <w:pStyle w:val="Heading3"/>
      </w:pPr>
      <w:r>
        <w:rPr>
          <w:b/>
          <w:bCs/>
        </w:rPr>
        <w:t xml:space="preserve">§ 5</w:t>
      </w:r>
    </w:p>
    <w:p>
      <w:pPr>
        <w:ind w:left="0" w:right="0"/>
      </w:pPr>
      <w:r>
        <w:rPr>
          <w:b/>
          <w:bCs/>
        </w:rPr>
        <w:t xml:space="preserve">(1)</w:t>
      </w:r>
      <w:r>
        <w:rPr/>
        <w:t xml:space="preserve"> Státní program na podporu úspor energie a využití obnovitelných zdrojů energie (dále jen „Program“) je nástroj na podporu opatření ke zvyšování účinnosti užití energie, snižování energetické náročnosti a využití jejích obnovitelných a druhotných zdrojů v souladu se schválenou státní energetickou koncepcí a zásadami udržitelného rozvoje</w:t>
      </w:r>
      <w:r>
        <w:rPr>
          <w:vertAlign w:val="superscript"/>
        </w:rPr>
        <w:t xml:space="preserve">3</w:t>
      </w:r>
      <w:r>
        <w:rPr/>
        <w:t xml:space="preserve">).</w:t>
      </w:r>
    </w:p>
    <w:p>
      <w:pPr>
        <w:ind w:left="0" w:right="0"/>
      </w:pPr>
      <w:r>
        <w:rPr>
          <w:b/>
          <w:bCs/>
        </w:rPr>
        <w:t xml:space="preserve">(2)</w:t>
      </w:r>
      <w:r>
        <w:rPr/>
        <w:t xml:space="preserve"> Program zpracovává na období jednoho roku ministerstvo v dohodě s Ministerstvem životního prostředí a předkládá jej ke schválení vládě.</w:t>
      </w:r>
    </w:p>
    <w:p>
      <w:pPr>
        <w:ind w:left="0" w:right="0"/>
      </w:pPr>
      <w:r>
        <w:rPr>
          <w:b/>
          <w:bCs/>
        </w:rPr>
        <w:t xml:space="preserve">(3)</w:t>
      </w:r>
      <w:r>
        <w:rPr/>
        <w:t xml:space="preserve"> Ministerstvo v dohodě s Ministerstvem životního prostředí vyhodnocuje naplňování Programu jedenkrát ročně a o výsledcích informuje vládu. Ministerstvo výsledky hodnocení Programu zohlední v návrhu Programu na další období.</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kombinované výroby elektřiny a tepla a dále druhotných energetických zdrojů,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rozvoj energetického využití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osvětu, výchovu, vzdělávání a poradenství v oblasti nakládání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vědu, výzkum a vývoj v oblasti nakládání s energií, energetických úspor a využití obnovitelných zdrojů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zavádění průkazu energetické náročnosti budov a provádění energetických auditů,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pobídky malým, středním a velmi malým podnikům vyrábějícím energetické spotřebiče k zavádění nových postupů vedoucích ke splnění požadavků na ekodesign.</w:t>
      </w:r>
    </w:p>
    <w:p>
      <w:pPr>
        <w:ind w:left="0" w:right="0"/>
      </w:pPr>
      <w:r>
        <w:rPr>
          <w:b/>
          <w:bCs/>
        </w:rPr>
        <w:t xml:space="preserve">(5)</w:t>
      </w:r>
      <w:r>
        <w:rPr/>
        <w:t xml:space="preserve"> Program je uveřejňován v Obchodním věstníku a ministerstvo jej uveřejňuje způsobem umožňujícím dálkový přístup.</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w:t>
      </w:r>
    </w:p>
    <w:p>
      <w:pPr>
        <w:ind w:left="0" w:right="0"/>
      </w:pPr>
      <w:r>
        <w:rPr>
          <w:b/>
          <w:bCs/>
        </w:rPr>
        <w:t xml:space="preserve">(1)</w:t>
      </w:r>
      <w:r>
        <w:rPr/>
        <w:t xml:space="preserve"> Výrobce elektřiny nebo tepelné energie</w:t>
      </w:r>
      <w:r>
        <w:rPr>
          <w:vertAlign w:val="superscript"/>
        </w:rPr>
        <w:t xml:space="preserve">2</w:t>
      </w:r>
      <w:r>
        <w:rPr/>
        <w:t xml:space="preserve">) je povinen u nově zřizovaných zařízení pro výrobu elektřiny nebo tepelné energie zajistit alespoň minimální účinnost užití energie stanovenou prováděcím právním předpisem. Tuto povinnost má i u zařízení na výrobu elektřiny nebo tepelné energie, u nichž se provádí změna dokončených staveb v rozsahu podle zvláštního právního předpisu</w:t>
      </w:r>
      <w:r>
        <w:rPr>
          <w:vertAlign w:val="superscript"/>
        </w:rPr>
        <w:t xml:space="preserve">4</w:t>
      </w:r>
      <w:r>
        <w:rPr/>
        <w:t xml:space="preserve">).</w:t>
      </w:r>
    </w:p>
    <w:p>
      <w:pPr>
        <w:ind w:left="0" w:right="0"/>
      </w:pPr>
      <w:r>
        <w:rPr>
          <w:b/>
          <w:bCs/>
        </w:rPr>
        <w:t xml:space="preserve">(2)</w:t>
      </w:r>
      <w:r>
        <w:rPr/>
        <w:t xml:space="preserve"> U provozovaných kotlů spalujících kapalná, plynná nebo pevná paliva se jmenovitým výkonem do 200 kW je jejich vlastník nebo provozovatel povinen zajistit pravidelnou kontrolu účinnosti. Četnost, rozsah a způsob provedení kontroly stanoví prováděcí právní předpis.</w:t>
      </w:r>
    </w:p>
    <w:p>
      <w:pPr>
        <w:ind w:left="0" w:right="0"/>
      </w:pPr>
      <w:r>
        <w:rPr>
          <w:b/>
          <w:bCs/>
        </w:rPr>
        <w:t xml:space="preserve">(3)</w:t>
      </w:r>
      <w:r>
        <w:rPr/>
        <w:t xml:space="preserve"> U zařízení sloužícího pro ústřední vytápění se jmenovitým výkonem nad 20 kW a staršího 15 let od data uvedení do provozu je vlastník nebo provozovatel povinen zajistit jednorázovou kontrolu kotlů a vnitřních rozvodů tepelné energie do 3 let po nabytí účinnosti tohoto zákona. Součástí této kontroly je posouzení účinnosti kotle a jeho dimenzování v poměru k požadavkům výlučně na vytápění budovy podle prováděcího právního předpisu.</w:t>
      </w:r>
    </w:p>
    <w:p>
      <w:pPr>
        <w:ind w:left="0" w:right="0"/>
      </w:pPr>
      <w:r>
        <w:rPr>
          <w:b/>
          <w:bCs/>
        </w:rPr>
        <w:t xml:space="preserve">(4)</w:t>
      </w:r>
      <w:r>
        <w:rPr/>
        <w:t xml:space="preserve"> U provozovaných kotlů spalujících kapalná, plynná nebo pevná paliva se jmenovitým výkonem nad 200 kW je jejich vlastník, stavebník nebo provozovatel povinen zajistit pravidelnou kontrolu jejich účinnosti podle prováděcího právního předpisu</w:t>
      </w:r>
      <w:r>
        <w:rPr>
          <w:vertAlign w:val="superscript"/>
        </w:rPr>
        <w:t xml:space="preserve">4b</w:t>
      </w:r>
      <w:r>
        <w:rPr/>
        <w:t xml:space="preserve">).</w:t>
      </w:r>
    </w:p>
    <w:p>
      <w:pPr>
        <w:ind w:left="0" w:right="0"/>
      </w:pPr>
      <w:r>
        <w:rPr>
          <w:b/>
          <w:bCs/>
        </w:rPr>
        <w:t xml:space="preserve">(5)</w:t>
      </w:r>
      <w:r>
        <w:rPr/>
        <w:t xml:space="preserve"> Kontrolu kotlů a vnitřních rozvodů tepelné energie podle odstavců 2 a 3 a kontrolu kotlů o výkonu nad 200 kW sloužících pro vytápění, umístěných ve vytápěném objektu, mohou provádět pouze osoby podle § 10 nebo osoby autorizované podle zvláštního právního předpisu</w:t>
      </w:r>
      <w:r>
        <w:rPr>
          <w:vertAlign w:val="superscript"/>
        </w:rPr>
        <w:t xml:space="preserve">4d</w:t>
      </w:r>
      <w:r>
        <w:rPr/>
        <w:t xml:space="preserve">) přezkoušené ministerstvem. Rozsah přezkoušení těchto osob stanoví prováděcí právní předpis.</w:t>
      </w:r>
    </w:p>
    <w:p>
      <w:pPr>
        <w:ind w:left="0" w:right="0"/>
      </w:pPr>
      <w:r>
        <w:rPr>
          <w:b/>
          <w:bCs/>
        </w:rPr>
        <w:t xml:space="preserve">(6)</w:t>
      </w:r>
      <w:r>
        <w:rPr/>
        <w:t xml:space="preserve"> Povinnosti podle odstavců 2 až 4 se nevztahují na vlastníky nebo provozovatele kotlů a vnitřních rozvodů tepelné energie umístěných v rodinných domech, bytech a stavbách pro individuální rekreaci s výjimkou případů, kdy jsou provozovány výhradně pro podnikatelskou činnost. Vlastníkům kotlů umístěných v rodinných domech, bytech a stavbách pro individuální rekreaci se pro kontrolu kotlů, jejich dimenzování a zařízení sloužících pro vytápění poskytuje poradenství podle § 5 odst. 4 písm. g).</w:t>
      </w:r>
    </w:p>
    <w:p>
      <w:pPr>
        <w:ind w:left="0" w:right="0"/>
      </w:pPr>
      <w:r>
        <w:rPr>
          <w:b/>
          <w:bCs/>
        </w:rPr>
        <w:t xml:space="preserve">(7)</w:t>
      </w:r>
      <w:r>
        <w:rPr/>
        <w:t xml:space="preserve"> U klimatizačních systémů je vlastník nebo provozovatel zařízení se jmenovitým chladicím výkonem vyšším než 12 kW povinen zajistit pravidelnou kontrolu každé 4 roky. Způsob provedení kontroly a vyhodnocení výsledků stanoví prováděcí právní předpis.</w:t>
      </w:r>
    </w:p>
    <w:p>
      <w:pPr>
        <w:ind w:left="0" w:right="0"/>
      </w:pPr>
      <w:r>
        <w:rPr>
          <w:b/>
          <w:bCs/>
        </w:rPr>
        <w:t xml:space="preserve">(8)</w:t>
      </w:r>
      <w:r>
        <w:rPr/>
        <w:t xml:space="preserve"> Kontrolu klimatizačních systémů mohou provádět pouze osoby podle § 10 nebo osoby autorizované podle zvláštního právního předpisu</w:t>
      </w:r>
      <w:r>
        <w:rPr>
          <w:vertAlign w:val="superscript"/>
        </w:rPr>
        <w:t xml:space="preserve">4d</w:t>
      </w:r>
      <w:r>
        <w:rPr/>
        <w:t xml:space="preserve">) přezkoušené ministerstvem z problematiky užití účinnosti energie a návrhů opatření. Rozsah přezkoušení stanoví prováděcí právní předpis.</w:t>
      </w:r>
    </w:p>
    <w:p>
      <w:pPr>
        <w:ind w:left="0" w:right="0"/>
      </w:pPr>
      <w:r>
        <w:rPr>
          <w:b/>
          <w:bCs/>
        </w:rPr>
        <w:t xml:space="preserve">(9)</w:t>
      </w:r>
      <w:r>
        <w:rPr/>
        <w:t xml:space="preserve"> Vlastník nebo provozovatel zařízení na distribuci tepelné energie</w:t>
      </w:r>
      <w:r>
        <w:rPr>
          <w:vertAlign w:val="superscript"/>
        </w:rPr>
        <w:t xml:space="preserve">2</w:t>
      </w:r>
      <w:r>
        <w:rPr/>
        <w:t xml:space="preserve">) a vlastník vnitřního rozvodu tepelné energie a chladu je povinen u nově zřizovaných zařízení na distribuci tepelné energie a vnitřní distribuci tepelné energie zajistit účinnost užití energie a vybavení rozvodů a vnitřních rozvodů tepelné energie a chladu v rozsahu stanoveném prováděcím právním předpisem.</w:t>
      </w:r>
    </w:p>
    <w:p>
      <w:pPr>
        <w:ind w:left="0" w:right="0"/>
      </w:pPr>
      <w:r>
        <w:rPr>
          <w:b/>
          <w:bCs/>
        </w:rPr>
        <w:t xml:space="preserve">(10)</w:t>
      </w:r>
      <w:r>
        <w:rPr/>
        <w:t xml:space="preserve"> Výrobce, dovozce nebo prodejce může uvádět na trh pouze spotřebiče energie s minimální účinností užití energie stanovenou prováděcím právním předpisem. Tato podmínka se považuje za splněnou, pokud daný spotřebič vyhovuje příslušné harmonizované české technické normě, která stanovuje energetickou účinnost.</w:t>
      </w:r>
    </w:p>
    <w:p>
      <w:pPr>
        <w:pStyle w:val="Heading3"/>
      </w:pPr>
      <w:r>
        <w:rPr>
          <w:b/>
          <w:bCs/>
        </w:rPr>
        <w:t xml:space="preserve">§ 6a</w:t>
      </w:r>
      <w:r>
        <w:rPr>
          <w:rStyle w:val="hidden"/>
        </w:rPr>
        <w:t xml:space="preserve"> -</w:t>
      </w:r>
      <w:br/>
      <w:r>
        <w:rPr/>
        <w:t xml:space="preserve">Energetická náročnost budov</w:t>
      </w:r>
    </w:p>
    <w:p>
      <w:pPr>
        <w:ind w:left="0" w:right="0"/>
      </w:pPr>
      <w:r>
        <w:rPr>
          <w:b/>
          <w:bCs/>
        </w:rPr>
        <w:t xml:space="preserve">(1)</w:t>
      </w:r>
      <w:r>
        <w:rPr/>
        <w:t xml:space="preserve"> Stavebník, vlastník budovy nebo společenství vlastníků jednotek</w:t>
      </w:r>
      <w:r>
        <w:rPr>
          <w:vertAlign w:val="superscript"/>
        </w:rPr>
        <w:t xml:space="preserve">5</w:t>
      </w:r>
      <w:r>
        <w:rPr/>
        <w:t xml:space="preserve">) musí zajistit splnění požadavků na energetickou náročnost budovy a splnění porovnávacích ukazatelů, které stanoví prováděcí právní předpis</w:t>
      </w:r>
      <w:r>
        <w:rPr>
          <w:vertAlign w:val="superscript"/>
        </w:rPr>
        <w:t xml:space="preserve">6a</w:t>
      </w:r>
      <w:r>
        <w:rPr/>
        <w:t xml:space="preserve">), a dále splnění požadavků stanovených příslušnými harmonizovanými českými technickými normami. Prováděcí právní předpis stanoví požadavky na energetickou náročnost budov, porovnávací ukazatele, metodu výpočtu energetické náročnosti budovy a podrobnosti vztahující se ke splnění těchto požadavků. Při změnách dokončených budov jsou požadavky plněny pro celou budovu nebo pro změny systémů a prvků budovy.</w:t>
      </w:r>
    </w:p>
    <w:p>
      <w:pPr>
        <w:ind w:left="0" w:right="0"/>
      </w:pPr>
      <w:r>
        <w:rPr>
          <w:b/>
          <w:bCs/>
        </w:rPr>
        <w:t xml:space="preserve">(2)</w:t>
      </w:r>
      <w:r>
        <w:rPr/>
        <w:t xml:space="preserve"> Splnění požadavků podle odstavce 1 dokládá stavebník, vlastník budovy nebo společenství vlastníků jednotek průkazem energetické náročnosti budovy (dále jen „průkaz“), který musí být přiložen při prokazování dodržení obecných technických požadavků na výstavbu</w:t>
      </w:r>
      <w:r>
        <w:rPr>
          <w:vertAlign w:val="superscript"/>
        </w:rPr>
        <w:t xml:space="preserve">5a</w:t>
      </w:r>
      <w:r>
        <w:rPr/>
        <w:t xml:space="preserve">). Průkaz nesmí být starší 10 let a je součástí dokumentace podle prováděcího právního předpisu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výstavbě nových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větších změnách dokončených budov s celkovou podlahovou plochou nad 1000 m</w:t>
      </w:r>
      <w:r>
        <w:rPr>
          <w:vertAlign w:val="superscript"/>
        </w:rPr>
        <w:t xml:space="preserve">2</w:t>
      </w:r>
      <w:r>
        <w:rPr/>
        <w:t xml:space="preserve">, které ovlivňují jejich energetickou náročnost,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prodeji nebo nájmu budov nebo jejich částí v případech, kdy pro tyto budovy nastala povinnost zpracovat průkaz podle písmene a) nebo b).</w:t>
      </w:r>
    </w:p>
    <w:p>
      <w:pPr>
        <w:ind w:left="0" w:right="0"/>
      </w:pPr>
      <w:r>
        <w:rPr>
          <w:b/>
          <w:bCs/>
        </w:rPr>
        <w:t xml:space="preserve">(3)</w:t>
      </w:r>
      <w:r>
        <w:rPr/>
        <w:t xml:space="preserve"> Průkaz může být použit pro jednotlivé byty a nebytové prostory u budov s ústředním vytápěním, které je připojeno na zdroj či rozvod tepelné energie.</w:t>
      </w:r>
    </w:p>
    <w:p>
      <w:pPr>
        <w:ind w:left="0" w:right="0"/>
      </w:pPr>
      <w:r>
        <w:rPr>
          <w:b/>
          <w:bCs/>
        </w:rPr>
        <w:t xml:space="preserve">(4)</w:t>
      </w:r>
      <w:r>
        <w:rPr/>
        <w:t xml:space="preserve"> Součástí průkazu nové budovy nad 1000 m</w:t>
      </w:r>
      <w:r>
        <w:rPr>
          <w:vertAlign w:val="superscript"/>
        </w:rPr>
        <w:t xml:space="preserve">2</w:t>
      </w:r>
      <w:r>
        <w:rPr/>
        <w:t xml:space="preserve"> celkové podlahové plochy musí být výsledky posouzení technické, ekologické a ekonomické proveditelnosti alternativních systémů vytápění,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decentralizované systémy dodávky energie založené na energii z obnovitelných zdrojů,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kombinovaná výroba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dálkové nebo blokové ústřední vytápění, v případě potřeby chlazení,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tepelná čerpadla.</w:t>
      </w:r>
    </w:p>
    <w:p>
      <w:pPr>
        <w:ind w:left="0" w:right="0"/>
      </w:pPr>
      <w:r>
        <w:rPr>
          <w:b/>
          <w:bCs/>
        </w:rPr>
        <w:t xml:space="preserve">(5)</w:t>
      </w:r>
      <w:r>
        <w:rPr/>
        <w:t xml:space="preserve"> Obsah průkazu a způsob jeho zpracování, včetně využití již zpracovaných energetických auditů podle § 9, stanoví prováděcí právní předpis.</w:t>
      </w:r>
    </w:p>
    <w:p>
      <w:pPr>
        <w:ind w:left="0" w:right="0"/>
      </w:pPr>
      <w:r>
        <w:rPr>
          <w:b/>
          <w:bCs/>
        </w:rPr>
        <w:t xml:space="preserve">(6)</w:t>
      </w:r>
      <w:r>
        <w:rPr/>
        <w:t xml:space="preserve"> Provozovatelé budov využívaných pro účely školství, zdravotnictví, kultury, obchodu, sportu, ubytovacích a stravovacích služeb, zákaznických středisek odvětví vodního hospodářství, energetiky, dopravy a telekomunikací a veřejné správy o celkové podlahové ploše nad 1000 m</w:t>
      </w:r>
      <w:r>
        <w:rPr>
          <w:vertAlign w:val="superscript"/>
        </w:rPr>
        <w:t xml:space="preserve">2</w:t>
      </w:r>
      <w:r>
        <w:rPr/>
        <w:t xml:space="preserve"> jsou povinni umístit průkaz na veřejně přístupném místě v budově.</w:t>
      </w:r>
    </w:p>
    <w:p>
      <w:pPr>
        <w:ind w:left="0" w:right="0"/>
      </w:pPr>
      <w:r>
        <w:rPr>
          <w:b/>
          <w:bCs/>
        </w:rPr>
        <w:t xml:space="preserve">(7)</w:t>
      </w:r>
      <w:r>
        <w:rPr/>
        <w:t xml:space="preserve"> Průkaz může vypracovávat pouze osoba oprávněná podle § 10 nebo osoba autorizovaná podle zvláštního právního předpisu</w:t>
      </w:r>
      <w:r>
        <w:rPr>
          <w:vertAlign w:val="superscript"/>
        </w:rPr>
        <w:t xml:space="preserve">5b</w:t>
      </w:r>
      <w:r>
        <w:rPr/>
        <w:t xml:space="preserve">), přezkoušená ministerstvem podle prováděcího právního předpisu z podrobností jeho vypracování.</w:t>
      </w:r>
    </w:p>
    <w:p>
      <w:pPr>
        <w:ind w:left="0" w:right="0"/>
      </w:pPr>
      <w:r>
        <w:rPr>
          <w:b/>
          <w:bCs/>
        </w:rPr>
        <w:t xml:space="preserve">(8)</w:t>
      </w:r>
      <w:r>
        <w:rPr/>
        <w:t xml:space="preserve"> Požadavky podle odstavce 1 nemusí být splněny při změně dokončené budovy v případě, že vlastník budovy prokáže energetickým auditem, že to není technicky a funkčně možné nebo ekonomicky vhodné s ohledem na životnost budovy, její provozní účely nebo pokud to odporuje požadavkům zvláštního právního předpisu</w:t>
      </w:r>
      <w:r>
        <w:rPr>
          <w:vertAlign w:val="superscript"/>
        </w:rPr>
        <w:t xml:space="preserve">6</w:t>
      </w:r>
      <w:r>
        <w:rPr/>
        <w:t xml:space="preserve">). Požadavky podle odstavce 1 nemusí být dále splněny u budov dočasných s plánovanou dobou užívání do 2 let, budov experimentálních, budov s občasným používáním, zejména pro náboženské činnosti, obytných budov, které jsou určeny k užívání kratšímu než 4 měsíce v roce, samostatně stojících budov o celkové podlahové ploše menší než 50 m</w:t>
      </w:r>
      <w:r>
        <w:rPr>
          <w:vertAlign w:val="superscript"/>
        </w:rPr>
        <w:t xml:space="preserve">2</w:t>
      </w:r>
      <w:r>
        <w:rPr/>
        <w:t xml:space="preserve"> a budov obsahujících vnitřní technologické zdroje tepla. Požadavky dále nemusí být splněny u výrobních budov v průmyslových areálech, u provozoven a neobytných zemědělských budov s nízkou roční spotřebou energie na vytápění</w:t>
      </w:r>
      <w:r>
        <w:rPr>
          <w:vertAlign w:val="superscript"/>
        </w:rPr>
        <w:t xml:space="preserve">6a</w:t>
      </w:r>
      <w:r>
        <w:rPr/>
        <w:t xml:space="preserve">).</w:t>
      </w:r>
    </w:p>
    <w:p>
      <w:pPr>
        <w:ind w:left="0" w:right="0"/>
      </w:pPr>
      <w:r>
        <w:rPr>
          <w:b/>
          <w:bCs/>
        </w:rPr>
        <w:t xml:space="preserve">(9)</w:t>
      </w:r>
      <w:r>
        <w:rPr/>
        <w:t xml:space="preserve"> Vlastník budovy nebo společenství vlastníků jednotek nesmí při užívání nových budov nebo při užívání budov dokončených po jejich změně mající vliv na všechny tepelně technické vlastnosti budovy překročit měrné ukazatele spotřeby tepla pro vytápění a chlazení a pro přípravu teplé vody stanovené prováděcím právním předpisem</w:t>
      </w:r>
      <w:r>
        <w:rPr>
          <w:vertAlign w:val="superscript"/>
        </w:rPr>
        <w:t xml:space="preserve">6b</w:t>
      </w:r>
      <w:r>
        <w:rPr/>
        <w:t xml:space="preserve">).</w:t>
      </w:r>
    </w:p>
    <w:p>
      <w:pPr>
        <w:ind w:left="0" w:right="0"/>
      </w:pPr>
      <w:r>
        <w:rPr>
          <w:b/>
          <w:bCs/>
        </w:rPr>
        <w:t xml:space="preserve">(10)</w:t>
      </w:r>
      <w:r>
        <w:rPr/>
        <w:t xml:space="preserve"> Stavebník, vlastník budovy nebo společenství vlastníků jednotek musí vybavit vnitřní tepelná zařízení budov přístroji regulujícími dodávku tepelné energie konečným spotřebitelům v rozsahu stanoveném prováděcím právním předpisem. Konečný spotřebitel je povinen umožnit instalaci, údržbu a kontrolu těchto zařízení.</w:t>
      </w:r>
    </w:p>
    <w:p>
      <w:pPr>
        <w:ind w:left="0" w:right="0"/>
      </w:pPr>
      <w:r>
        <w:rPr>
          <w:b/>
          <w:bCs/>
        </w:rPr>
        <w:t xml:space="preserve">(11)</w:t>
      </w:r>
      <w:r>
        <w:rPr/>
        <w:t xml:space="preserve"> Vlastník budovy nebo společenství vlastníků jednotek se musí řídit pravidly pro vytápění a chlazení a dodávku teplé vody stanovenými prováděcím právním předpisem</w:t>
      </w:r>
      <w:r>
        <w:rPr>
          <w:vertAlign w:val="superscript"/>
        </w:rPr>
        <w:t xml:space="preserve">6b</w:t>
      </w:r>
      <w:r>
        <w:rPr/>
        <w:t xml:space="preserve">). Pravidla se nevztahují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dodávky uskutečňované výhradně pro vlastní osobní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dodávky uskutečňované pro nebytové prostory za podmínky nepřekročení limitů stanovených prováděcím právním předpisem a neohrožení zdraví a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dodávky uskutečňované pro byty, při souhlasu alespoň dvou třetin nájemníků nebo vlastníků těchto bytů s odlišnými pravidly, za podmínky nepřekročení limitů stanovených prováděcím právním předpisem</w:t>
      </w:r>
      <w:r>
        <w:rPr>
          <w:vertAlign w:val="superscript"/>
        </w:rPr>
        <w:t xml:space="preserve">6b</w:t>
      </w:r>
      <w:r>
        <w:rPr/>
        <w:t xml:space="preserve">) a neohrožení zdraví a majetku.</w:t>
      </w:r>
    </w:p>
    <w:p>
      <w:pPr>
        <w:pStyle w:val="Heading3"/>
      </w:pPr>
      <w:r>
        <w:rPr>
          <w:b/>
          <w:bCs/>
        </w:rPr>
        <w:t xml:space="preserve">§ 7</w:t>
      </w:r>
      <w:r>
        <w:rPr>
          <w:rStyle w:val="hidden"/>
        </w:rPr>
        <w:t xml:space="preserve"> -</w:t>
      </w:r>
      <w:br/>
      <w:r>
        <w:rPr/>
        <w:t xml:space="preserve">Kombinovaná výroba elektřiny a tepla</w:t>
      </w:r>
    </w:p>
    <w:p>
      <w:pPr>
        <w:ind w:left="0" w:right="0"/>
      </w:pPr>
      <w:r>
        <w:rPr>
          <w:b/>
          <w:bCs/>
        </w:rPr>
        <w:t xml:space="preserve">(1)</w:t>
      </w:r>
      <w:r>
        <w:rPr/>
        <w:t xml:space="preserve"> Každý výrobce tepla se zdrojem o součtovém výkonu zdroje vyšším než 5 MW</w:t>
      </w:r>
      <w:r>
        <w:rPr>
          <w:vertAlign w:val="subscript"/>
        </w:rPr>
        <w:t xml:space="preserve">t</w:t>
      </w:r>
      <w:r>
        <w:rPr/>
        <w:t xml:space="preserve"> je povinen při budování nových zdrojů nebo při změně dokončených staveb u zdrojů již vybudovaných podrobit dokumentaci stavby energetickému auditu z hlediska zavedení výroby elektřiny.</w:t>
      </w:r>
    </w:p>
    <w:p>
      <w:pPr>
        <w:ind w:left="0" w:right="0"/>
      </w:pPr>
      <w:r>
        <w:rPr>
          <w:b/>
          <w:bCs/>
        </w:rPr>
        <w:t xml:space="preserve">(2)</w:t>
      </w:r>
      <w:r>
        <w:rPr/>
        <w:t xml:space="preserve"> Každý výrobce elektřiny z tepelných procesů se zdrojem o součtovém výkonu zdroje vyšším než 10 MW</w:t>
      </w:r>
      <w:r>
        <w:rPr>
          <w:vertAlign w:val="subscript"/>
        </w:rPr>
        <w:t xml:space="preserve">e</w:t>
      </w:r>
      <w:r>
        <w:rPr/>
        <w:t xml:space="preserve"> je povinen při budování nových zdrojů nebo při změně dokončených staveb u zdrojů již vybudovaných podrobit dokumentaci stavby energetickému auditu z hlediska zavedení dodávky tepla. Při užití plynových turbin se tato povinnost vztahuje na výkony vyšší než 2 MW</w:t>
      </w:r>
      <w:r>
        <w:rPr>
          <w:vertAlign w:val="subscript"/>
        </w:rPr>
        <w:t xml:space="preserve">e</w:t>
      </w:r>
      <w:r>
        <w:rPr/>
        <w:t xml:space="preserve"> a při užití spalovacích motorů na výkony vyšší než 0,8 MW</w:t>
      </w:r>
      <w:r>
        <w:rPr>
          <w:vertAlign w:val="subscript"/>
        </w:rPr>
        <w:t xml:space="preserve">e</w:t>
      </w:r>
      <w:r>
        <w:rPr/>
        <w:t xml:space="preserve">.</w:t>
      </w:r>
    </w:p>
    <w:p>
      <w:pPr>
        <w:ind w:left="0" w:right="0"/>
      </w:pPr>
      <w:r>
        <w:rPr>
          <w:b/>
          <w:bCs/>
        </w:rPr>
        <w:t xml:space="preserve">(3)</w:t>
      </w:r>
      <w:r>
        <w:rPr/>
        <w:t xml:space="preserve"> Rozhodne-li se výrobce podle odstavců 1 a 2 realizovat kombinovanou výrobu elektřiny a tepla, je povinen dodržet pravidla pro navrhování zařízení a účinnost užití energie.</w:t>
      </w:r>
    </w:p>
    <w:p>
      <w:pPr>
        <w:ind w:left="0" w:right="0"/>
      </w:pPr>
      <w:r>
        <w:rPr>
          <w:b/>
          <w:bCs/>
        </w:rPr>
        <w:t xml:space="preserve">(4)</w:t>
      </w:r>
      <w:r>
        <w:rPr/>
        <w:t xml:space="preserve"> Podrobnosti pro přípravu a uskutečňování kombinované výroby elektřiny a tepla stanoví vyhláška.</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Výrobky spojené se spotřebou energie, na které se vztahují požadavky označování energetickými štítky, dodání informačních listů a zpracování technické dokumentace, stanoví přímo použitelný předpis Evropské unie a seznam těchto výrobků je uveden v prováděcím právním předpise.</w:t>
      </w:r>
    </w:p>
    <w:p>
      <w:pPr>
        <w:ind w:left="0" w:right="0"/>
      </w:pPr>
      <w:r>
        <w:rPr>
          <w:b/>
          <w:bCs/>
        </w:rPr>
        <w:t xml:space="preserve">(2)</w:t>
      </w:r>
      <w:r>
        <w:rPr/>
        <w:t xml:space="preserve"> Dodavatel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dodávat tištěný energetický štítek a informační list, který splňuje požadavky stanovené prováděcím právním předpisem</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uchovávat technickou dokumentaci podle odstavce 3 pro účely kontroly, a to nejméně po dobu 5 let od vyrobení posledního dotčeného výrobku spojeného se spotřebou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předložit na vyžádání Státní energetické inspekci technickou dokumentaci podle odstavce 3 a všechny doklady prokazující správnost informací uvedených na energetickém štítku, v informačním listu a v technické dokumentaci,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předložit na vyžádání Státní energetické inspekci nebo Evropské komisi elektronickou verzi technické dokumentace, a to do 10 pracovních dnů po obdržení žádosti Státní energetické inspekce nebo Evropské komise,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na požádání obchodníkům okamžitě a bezúplatně potřebné energetické štítky a informační listy výrobků spojených se spotřebou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zahrnovat informační list výrobku spojeného se spotřebou energie do všech informačních a reklamních materiálů týkajících se výrobku spojeného se spotřebou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uvést na energetických štítcích a v informačních listech správné informace založené na metodách a postupech měření podle prováděcího právního předpisu</w:t>
      </w:r>
      <w:r>
        <w:rPr>
          <w:vertAlign w:val="superscript"/>
        </w:rPr>
        <w:t xml:space="preserve">10</w:t>
      </w:r>
      <w:r>
        <w:rPr/>
        <w:t xml:space="preserve">).</w:t>
      </w:r>
    </w:p>
    <w:p>
      <w:pPr>
        <w:ind w:left="0" w:right="0"/>
      </w:pPr>
      <w:r>
        <w:rPr>
          <w:b/>
          <w:bCs/>
        </w:rPr>
        <w:t xml:space="preserve">(3)</w:t>
      </w:r>
      <w:r>
        <w:rPr/>
        <w:t xml:space="preserve"> Technická dokumentace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obecný popis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provedené konstrukční výpočty, stanoví-li tak prováděcí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protokoly o zkouškách, pokud jsou k dispozici, včetně protokolů o těch zkouškách, které byly provedeny příslušnými notifikovanými osobami podle jiných právních předpisů</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výpočty nebo odvození informací uvedených v písmenech a) až c) v případě, že tyto informace byly získány formou zkoušek u podobných typů výrobků spojených se spotřebou energie umožňující ověření přesnosti uvedených informací včetně seznamu všech dalších podobných typů výrobků spojených se spotřebou energie, u nichž byly informace získány stejným způsobem, stanoví-li tak prováděcí právní předpis.</w:t>
      </w:r>
    </w:p>
    <w:p>
      <w:pPr>
        <w:ind w:left="0" w:right="0"/>
      </w:pPr>
      <w:r>
        <w:rPr>
          <w:b/>
          <w:bCs/>
        </w:rPr>
        <w:t xml:space="preserve">(4)</w:t>
      </w:r>
      <w:r>
        <w:rPr/>
        <w:t xml:space="preserve"> Obchodník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řádně viditelným a čitelným způsobem vystavit na nebo u výrobku spojeného se spotřebou energie energetický štítek a poskytnout informační list v informačních a reklamních materiálech týkajících se výrobku spojeného se spotřebou energie, které jsou k výrobkům spojeným se spotřebou energie přiloženy, když jsou prodávány konečným uživatelům,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výrobek spojený se spotřebou energie příslušným energetickým štítkem na místě stanoveném v prováděcím právním předpise</w:t>
      </w:r>
      <w:r>
        <w:rPr>
          <w:vertAlign w:val="superscript"/>
        </w:rPr>
        <w:t xml:space="preserve">10</w:t>
      </w:r>
      <w:r>
        <w:rPr/>
        <w:t xml:space="preserve">), a to v českém jazyce, kdykoli je výrobek spojený se spotřebou energie, na něhož se vztahuje prováděcí právní předpis</w:t>
      </w:r>
      <w:r>
        <w:rPr>
          <w:vertAlign w:val="superscript"/>
        </w:rPr>
        <w:t xml:space="preserve">10</w:t>
      </w:r>
      <w:r>
        <w:rPr/>
        <w:t xml:space="preserve">), nabízen nebo předváděn,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postupovat v případě, že jsou výrobky nabízeny k prodeji, k pronájmu nebo ke koupi na splátky prostřednictvím zásilkového prodeje, katalogu, internetu, telemarketingu nebo jakýmikoli jinými způsoby, při nichž nelze předpokládat, že potenciální konečný uživatel uvidí vystavený výrobek spojený se spotřebou energie, tak, aby byly konečnému uživateli informace uvedené na energetickém štítku a v informačním listu zpřístupněny podle prováděcího právního předpisu</w:t>
      </w:r>
      <w:r>
        <w:rPr>
          <w:vertAlign w:val="superscript"/>
        </w:rPr>
        <w:t xml:space="preserve">10</w:t>
      </w:r>
      <w:r>
        <w:rPr/>
        <w:t xml:space="preserve">).</w:t>
      </w:r>
    </w:p>
    <w:p>
      <w:pPr>
        <w:ind w:left="0" w:right="0"/>
      </w:pPr>
      <w:r>
        <w:rPr>
          <w:b/>
          <w:bCs/>
        </w:rPr>
        <w:t xml:space="preserve">(5)</w:t>
      </w:r>
      <w:r>
        <w:rPr/>
        <w:t xml:space="preserve"> Dodavatel a obchodník jsou dále povinni uvádět odkaz na třídu energetické účinnosti výrobku spojeného se spotřebou energie 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informačních a reklamních materiálech popisujících spotřebu energie nebo cenu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informačních a reklamních technických materiálech popisujících konkrétní technické parametry výrobku spojeného se spotřebou energie uveřejňovaných v písemné nebo elektronické formě.</w:t>
      </w:r>
    </w:p>
    <w:p>
      <w:pPr>
        <w:ind w:left="0" w:right="0"/>
      </w:pPr>
      <w:r>
        <w:rPr>
          <w:b/>
          <w:bCs/>
        </w:rPr>
        <w:t xml:space="preserve">(6)</w:t>
      </w:r>
      <w:r>
        <w:rPr/>
        <w:t xml:space="preserve"> Požadavky na energetické štítky, informační listy a technickou dokumentaci podle tohoto zákona se nevztahují na použité výrobky spojené se spotřebou energie, jakékoli dopravní prostředky pro přepravu osob, zvířat nebo věcí a na štítek s údaji o výkonu nebo jeho ekvivalent připojený k výrobku spojenému se spotřebou energie z bezpečnostních důvodů.</w:t>
      </w:r>
    </w:p>
    <w:p>
      <w:pPr>
        <w:ind w:left="0" w:right="0"/>
      </w:pPr>
      <w:r>
        <w:rPr>
          <w:b/>
          <w:bCs/>
        </w:rPr>
        <w:t xml:space="preserve">(7)</w:t>
      </w:r>
      <w:r>
        <w:rPr/>
        <w:t xml:space="preserve"> Náležitosti označování výrobků spojených se spotřebou energie energetickými štítky, provedení a obsah energetických štítků a informačních listů, metody a postupy měření, určení třídy energetické účinnosti a podrobnosti obsahu technické dokumentace stanoví prováděcí právní předpis</w:t>
      </w:r>
      <w:r>
        <w:rPr>
          <w:vertAlign w:val="superscript"/>
        </w:rPr>
        <w:t xml:space="preserve">10</w:t>
      </w:r>
      <w:r>
        <w:rPr/>
        <w:t xml:space="preserve">).</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Výrobky spojené se spotřebou energie, na které se vztahují požadavky na ekodesign, označování CE a ES prohlášení o shodě, stanoví přímo použitelný předpis Evropské unie a seznam těchto výrobků je uveden v prováděcím právním předpise.</w:t>
      </w:r>
    </w:p>
    <w:p>
      <w:pPr>
        <w:ind w:left="0" w:right="0"/>
      </w:pPr>
      <w:r>
        <w:rPr>
          <w:b/>
          <w:bCs/>
        </w:rPr>
        <w:t xml:space="preserve">(2)</w:t>
      </w:r>
      <w:r>
        <w:rPr/>
        <w:t xml:space="preserve"> Výrobce nebo jeho zplnomocněný zástupce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uvádět na trh nebo do provozu výrobky spojené se spotřebou energie, pouze pokud splňují požadavky na ekodesign, po posouzení shody, po označení CE a po vydání ES prohlášení o shodě, a to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nepřipojovat k výrobku spojenému se spotřebou energie jakékoli jiné označení, které by mohlo uvádět uživatele v omyl nebo vést k záměně, pokud jde o význam a tvar označení 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vyhotovovat dokumenty týkající se posouzení shody a ES prohlášení o shodě v českém jazyce.</w:t>
      </w:r>
    </w:p>
    <w:p>
      <w:pPr>
        <w:ind w:left="0" w:right="0"/>
      </w:pPr>
      <w:r>
        <w:rPr>
          <w:b/>
          <w:bCs/>
        </w:rPr>
        <w:t xml:space="preserve">(3)</w:t>
      </w:r>
      <w:r>
        <w:rPr/>
        <w:t xml:space="preserve"> Výrobce nebo jeho zplnomocněný zástupce je po uvedení výrobku spojeného se spotřebou energie na trh nebo do provozu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uchovávat příslušné dokumenty týkající se provedeného posouzení shody a vydaných ES prohlášení o shodě po dobu 10 let od vyrobení posledního uvedeného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Státní energetické inspekci veškeré potřebné informace uvedené v tomto zákoně a v prováděcím právním předpise vztahující se k ověření označení CE, k posouzení a předpokladu shody a k ES prohlášení o shodě, a to do 10 dnů po obdržení žádosti Státní energetické inspekce,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Státní energetické inspekci vzorky výrobků spojených se spotřebou energie k ověření označení CE, k posouzení a předpokladu shody a k ES prohlášení o shodě,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uvádí na trh nebo do provozu součásti a podsestavy, poskytnout výrobci výrobku spojeného se spotřebou energie, na nějž se vztahuje toto ustanovení, údaje o materiálovém složení a spotřebě energie, materiálů nebo zdrojů těchto součástí nebo podsestav, pokud tak stanoví prováděcí právní předpis,</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konečným uživatelům výrobků spojených se spotřebou energie nezbytné informace o tom, jak mohou přispět k udržitelnému užívání výrobku spojeného se spotřebou energie a ekologický profil výrobku spojeného se spotřebou energie a výhody ekodesignu podle prováděcího právního předpisu.</w:t>
      </w:r>
    </w:p>
    <w:p>
      <w:pPr>
        <w:ind w:left="0" w:right="0"/>
      </w:pPr>
      <w:r>
        <w:rPr>
          <w:b/>
          <w:bCs/>
        </w:rPr>
        <w:t xml:space="preserve">(4)</w:t>
      </w:r>
      <w:r>
        <w:rPr/>
        <w:t xml:space="preserve"> Není–li výrobce usazen v Unii a neexistuje-li zplnomocněný zástupce, je povinnosti uvedené v odstavcích 2 a 3 povinen zajistit dovozce. Neexistuje-li dovozce, považuje se za osobu povinnou podle tohoto ustanovení osoba, která uvádí na trh nebo do provozu výrobky spojené se spotřebou energie stanovené v odstavci 1.</w:t>
      </w:r>
    </w:p>
    <w:p>
      <w:pPr>
        <w:ind w:left="0" w:right="0"/>
      </w:pPr>
      <w:r>
        <w:rPr>
          <w:b/>
          <w:bCs/>
        </w:rPr>
        <w:t xml:space="preserve">(5)</w:t>
      </w:r>
      <w:r>
        <w:rPr/>
        <w:t xml:space="preserve"> Požadavky na označování CE a na ES prohlášení o shodě se nevztahují na dopravní prostředky pro přepravu osob, zvířat nebo věcí a na výrobky spojené se spotřebou energie vystavené na veletrzích, výstavách nebo předváděcích akcích, pokud jsou opatřeny oznámením, že nesmějí být uváděny na trh nebo do provozu na území Unie, dokud nesplní požadavky stanovené tímto zákonem a prováděcím právním předpisem.</w:t>
      </w:r>
    </w:p>
    <w:p>
      <w:pPr>
        <w:ind w:left="0" w:right="0"/>
      </w:pPr>
      <w:r>
        <w:rPr>
          <w:b/>
          <w:bCs/>
        </w:rPr>
        <w:t xml:space="preserve">(6)</w:t>
      </w:r>
      <w:r>
        <w:rPr/>
        <w:t xml:space="preserve"> Požadavky na ekodesign, náležitosti označování CE, obsah ES prohlášení o shodě, postupy posuzování a předpoklad shody, postupy ověřování požadavků na ekodesign a poskytování informací o výrobku a jeho užívání stanoví prováděcí právní předpis.</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Energetický audit provádí energetický auditor. Energetický audit musí být zpracován s využitím energeticky úsporných materiálů a postupů, objektivně a pravdivě. Energetický audit provedený v rozsahu stanoveném prováděcím právním předpisem</w:t>
      </w:r>
      <w:r>
        <w:rPr>
          <w:vertAlign w:val="superscript"/>
        </w:rPr>
        <w:t xml:space="preserve">6f</w:t>
      </w:r>
      <w:r>
        <w:rPr/>
        <w:t xml:space="preserve">) je zakončen písemnou zprávou, která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hodnocení současné úrovně posuzovaného energetického hospodářství a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dosažitelných energetických úspor včetně použitých vstupních a výstupních údajů a metod výpočtu,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vybrané varianty doporučené k realizaci energetických úspor včetně ekonomického zdůvodnění.</w:t>
      </w:r>
    </w:p>
    <w:p>
      <w:pPr>
        <w:ind w:left="0" w:right="0"/>
      </w:pPr>
      <w:r>
        <w:rPr>
          <w:b/>
          <w:bCs/>
        </w:rPr>
        <w:t xml:space="preserve">(2)</w:t>
      </w:r>
      <w:r>
        <w:rPr/>
        <w:t xml:space="preserve"> Pokud energetické hospodářství a budova byly povinně podrobeny energetickému auditu nebo byla na zpracování auditu využita státní dotace, je jejich vlastník a energetický auditor povinen poskytnout na vyžádání kopii zprávy o energetickém auditu ministerstvu, Státní energetické inspekci, kraji a obci, které jsou místně příslušné podle místa, v němž se nachází posuzované energetické hospodářství a budova, a to i v elektronické podobě.</w:t>
      </w:r>
    </w:p>
    <w:p>
      <w:pPr>
        <w:ind w:left="0" w:right="0"/>
      </w:pPr>
      <w:r>
        <w:rPr>
          <w:b/>
          <w:bCs/>
        </w:rPr>
        <w:t xml:space="preserve">(3)</w:t>
      </w:r>
      <w:r>
        <w:rPr/>
        <w:t xml:space="preserve"> Povinnost podrobit energetické hospodářství a budovu, k nimž má vlastnické nebo jiné užívací právo, energetickému auditu se 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každou fyzickou nebo právnickou osobu, která žádá o státní dotaci v rámci Programu, pokud instalovaný výkon energetického zdroje přesahuje 200 kW,</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 složky státu, organizační složky krajů a obcí, hlavního města Prahy a příspěvkové organizace s celkovou roční spotřebou energie vyšší, než je prováděcím právním předpisem stanovená hodnota,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fyzické nebo právnické osoby, s výjimkou příspěvkových organizací, s celkovou roční spotřebou energie vyšší, než je prováděcím právním předpisem stanovená hodnota.</w:t>
      </w:r>
    </w:p>
    <w:p>
      <w:pPr>
        <w:ind w:left="0" w:right="0"/>
      </w:pPr>
      <w:r>
        <w:rPr>
          <w:b/>
          <w:bCs/>
        </w:rPr>
        <w:t xml:space="preserve">(4)</w:t>
      </w:r>
      <w:r>
        <w:rPr/>
        <w:t xml:space="preserve"> Organizační složky státu, organizační složky krajů a obcí a příspěvkové organizace jsou povinny splnit opatření a lhůty stanovené v rozhodnutí Státní energetické inspekce.</w:t>
      </w:r>
      <w:r>
        <w:rPr>
          <w:vertAlign w:val="superscript"/>
        </w:rPr>
        <w:t xml:space="preserve">2</w:t>
      </w:r>
      <w:r>
        <w:rPr/>
        <w:t xml:space="preserve">)</w:t>
      </w:r>
    </w:p>
    <w:p>
      <w:pPr>
        <w:ind w:left="0" w:right="0"/>
      </w:pPr>
      <w:r>
        <w:rPr>
          <w:b/>
          <w:bCs/>
        </w:rPr>
        <w:t xml:space="preserve">(5)</w:t>
      </w:r>
      <w:r>
        <w:rPr/>
        <w:t xml:space="preserve"> Energetický audit se neprovádí, jestliže stávající technologická zařízení na výrobu elektřiny a tepelné energie, na přenos elektřiny a distribuci elektřiny a na rozvod tepelné energie odpovídají požadavkům na účinnost užití energie stanoveným zvláštním právním předpisem.</w:t>
      </w:r>
    </w:p>
    <w:p>
      <w:pPr>
        <w:ind w:left="0" w:right="0"/>
      </w:pPr>
      <w:r>
        <w:rPr>
          <w:b/>
          <w:bCs/>
        </w:rPr>
        <w:t xml:space="preserve">(6)</w:t>
      </w:r>
      <w:r>
        <w:rPr/>
        <w:t xml:space="preserve"> Energetický audit se neprovádí u stávajících budov, jejichž měrná spotřeba tepla při vytápění odpovídá požadavkům stanoveným podle prováděcího právního předpisu, a u budov obsahujících vnitřní technologické zdroje tepla v rozsahu stanoveném prováděcím právním předpisem.</w:t>
      </w:r>
    </w:p>
    <w:p>
      <w:pPr>
        <w:ind w:left="0" w:right="0"/>
      </w:pPr>
      <w:r>
        <w:rPr>
          <w:b/>
          <w:bCs/>
        </w:rPr>
        <w:t xml:space="preserve">(7)</w:t>
      </w:r>
      <w:r>
        <w:rPr/>
        <w:t xml:space="preserve"> Pokud povinnost podle odstavce 3 plní vlastník nebo osoba, která má jiné užívací právo, má povinnost poskytnout nezbytnou součinnost.</w:t>
      </w:r>
    </w:p>
    <w:p>
      <w:pPr>
        <w:ind w:left="0" w:right="0"/>
      </w:pPr>
      <w:r>
        <w:rPr>
          <w:b/>
          <w:bCs/>
        </w:rPr>
        <w:t xml:space="preserve">(8)</w:t>
      </w:r>
      <w:r>
        <w:rPr/>
        <w:t xml:space="preserve"> Zpracování energetického auditu hradí zadavatel auditu.</w:t>
      </w:r>
    </w:p>
    <w:p>
      <w:pPr>
        <w:ind w:left="0" w:right="0"/>
      </w:pPr>
      <w:r>
        <w:rPr>
          <w:b/>
          <w:bCs/>
        </w:rPr>
        <w:t xml:space="preserve">(9)</w:t>
      </w:r>
      <w:r>
        <w:rPr/>
        <w:t xml:space="preserve"> Podrobnosti týkající se náležitostí energetického auditu stanoví vyhláška.</w:t>
      </w:r>
    </w:p>
    <w:p>
      <w:pPr>
        <w:ind w:left="0" w:right="0"/>
      </w:pPr>
      <w:r>
        <w:rPr>
          <w:b/>
          <w:bCs/>
        </w:rPr>
        <w:t xml:space="preserve">(10)</w:t>
      </w:r>
      <w:r>
        <w:rPr/>
        <w:t xml:space="preserve"> Energetický audit může provést také osoba, která je usazena v jiném členském státě Evropské unie, jestliže vykonává činnost energetického auditora na území České republiky dočasně nebo ojediněle, pokud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státním příslušníkem členského státu Evropské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 k výkonu činnosti energetického auditora podle právních předpisů jiného členského státu Evropské unie.</w:t>
      </w:r>
    </w:p>
    <w:p>
      <w:pPr>
        <w:ind w:left="0" w:right="0"/>
      </w:pPr>
      <w:r>
        <w:rPr>
          <w:b/>
          <w:bCs/>
        </w:rPr>
        <w:t xml:space="preserve">(11)</w:t>
      </w:r>
      <w:r>
        <w:rPr/>
        <w:t xml:space="preserve"> Osoba oprávněná vykonávat audit podle odstavce 10 je povinna oznámit provedení auditu ministerstvu.</w:t>
      </w:r>
    </w:p>
    <w:p>
      <w:pPr>
        <w:pStyle w:val="Heading3"/>
      </w:pPr>
      <w:r>
        <w:rPr>
          <w:b/>
          <w:bCs/>
        </w:rPr>
        <w:t xml:space="preserve">§ 10</w:t>
      </w:r>
      <w:r>
        <w:rPr>
          <w:rStyle w:val="hidden"/>
        </w:rPr>
        <w:t xml:space="preserve"> -</w:t>
      </w:r>
      <w:br/>
      <w:r>
        <w:rPr/>
        <w:t xml:space="preserve">Energetický auditor</w:t>
      </w:r>
    </w:p>
    <w:p>
      <w:pPr>
        <w:ind w:left="0" w:right="0"/>
      </w:pPr>
      <w:r>
        <w:rPr>
          <w:b/>
          <w:bCs/>
        </w:rPr>
        <w:t xml:space="preserve">(1)</w:t>
      </w:r>
      <w:r>
        <w:rPr/>
        <w:t xml:space="preserve"> Energetický auditor je fyzická osoba, která je zapsána do seznamu energetických auditorů vedeného ministerstvem, a to způsobem umožňujícím dálkový přístup.</w:t>
      </w:r>
    </w:p>
    <w:p>
      <w:pPr>
        <w:ind w:left="0" w:right="0"/>
      </w:pPr>
      <w:r>
        <w:rPr>
          <w:b/>
          <w:bCs/>
        </w:rPr>
        <w:t xml:space="preserve">(2)</w:t>
      </w:r>
      <w:r>
        <w:rPr/>
        <w:t xml:space="preserve"> Předpokladem pro zapsání do seznamu energetických auditorů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daná tím, že uchazeč nebyl pravomocně odsouzen pro úmyslný trestný čin,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požadovaná odborná způsobilost podle odstavce 5.</w:t>
      </w:r>
    </w:p>
    <w:p>
      <w:pPr>
        <w:ind w:left="0" w:right="0"/>
      </w:pPr>
      <w:r>
        <w:rPr>
          <w:b/>
          <w:bCs/>
        </w:rPr>
        <w:t xml:space="preserve">(3)</w:t>
      </w:r>
      <w:r>
        <w:rPr/>
        <w:t xml:space="preserve"> Způsob podání žádosti o složení odborné zkoušky, její obsah a průběh (dále jen „zkušební řád“) stanoví prováděcí právní předpis. Písemná žádost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o odborné způsobilosti, které zahrnují doklad o vzdělání a doklad o praxi v oboru; při uznávání odborné kvalifikace nebo jiné způsobilosti příslušníků členských států Evropské unie se postupuje podle zvláštního zákona</w:t>
      </w:r>
      <w:r>
        <w:rPr>
          <w:vertAlign w:val="superscript"/>
        </w:rPr>
        <w:t xml:space="preserve">6g</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kopie minimálně 2 zpráv o energetických auditech provedených v posledních 2 letech, na jejichž provedení se uchazeč podílel, s potvrzením o spoluúčasti od provádějícího auditora.</w:t>
      </w:r>
    </w:p>
    <w:p>
      <w:pPr>
        <w:ind w:left="0" w:right="0"/>
      </w:pPr>
      <w:r>
        <w:rPr>
          <w:b/>
          <w:bCs/>
        </w:rPr>
        <w:t xml:space="preserve">(4)</w:t>
      </w:r>
      <w:r>
        <w:rPr/>
        <w:t xml:space="preserve"> Odborná zkouška se koná před zkušební komisí, kterou jmenuje ministerstvo. Uchazeč obdrží písemné oznámení o termínu a místě konání zkoušky nejméně 10 dnů před jejím konáním spolu s posudkem předložených energetických auditů. O průběhu a výsledku zkoušky zkušební komise pořizuje protokol a na jeho základě vydává doklad o zkoušce.</w:t>
      </w:r>
    </w:p>
    <w:p>
      <w:pPr>
        <w:ind w:left="0" w:right="0"/>
      </w:pPr>
      <w:r>
        <w:rPr>
          <w:b/>
          <w:bCs/>
        </w:rPr>
        <w:t xml:space="preserve">(5)</w:t>
      </w:r>
      <w:r>
        <w:rPr/>
        <w:t xml:space="preserve"> Odbornou způsobilost k provádění energetických auditů má ten, kdo prokáže ukončené vysokoškolské vzdělání magisterského nebo doktorského studijního programu v oblasti technických věd a technologií a 3 roky praxe v oboru nebo ukončené středoškolské vzdělání s maturitní zkouškou a 5 let praxe v oboru nebo ukončené středoškolské vzdělání a odpovídající dílčí kvalifikace podle zákona č. </w:t>
      </w:r>
      <w:hyperlink r:id="rId8" w:history="1">
        <w:r>
          <w:rPr>
            <w:color w:val="darkblue"/>
            <w:u w:val="single"/>
          </w:rPr>
          <w:t xml:space="preserve">179/2006 Sb.</w:t>
        </w:r>
      </w:hyperlink>
      <w:r>
        <w:rPr/>
        <w:t xml:space="preserve"> a 5 let praxe, nebo vysokoškolské vzdělání v bakalářském studijním programu v oblasti technických věd a technologií a 5 let praxe v oboru.</w:t>
      </w:r>
    </w:p>
    <w:p>
      <w:pPr>
        <w:ind w:left="0" w:right="0"/>
      </w:pPr>
      <w:r>
        <w:rPr>
          <w:b/>
          <w:bCs/>
        </w:rPr>
        <w:t xml:space="preserve">(6)</w:t>
      </w:r>
      <w:r>
        <w:rPr/>
        <w:t xml:space="preserve"> Uchazeč podává ministerstvu písemnou žádost o zápis do seznamu energetických auditorů, jejíž vzor stanoví prováděcí právní předpis</w:t>
      </w:r>
      <w:r>
        <w:rPr>
          <w:vertAlign w:val="superscript"/>
        </w:rPr>
        <w:t xml:space="preserve">6f</w:t>
      </w:r>
      <w:r>
        <w:rPr/>
        <w:t xml:space="preserve">).</w:t>
      </w:r>
    </w:p>
    <w:p>
      <w:pPr>
        <w:ind w:left="0" w:right="0"/>
      </w:pPr>
      <w:r>
        <w:rPr>
          <w:b/>
          <w:bCs/>
        </w:rPr>
        <w:t xml:space="preserve">(7)</w:t>
      </w:r>
      <w:r>
        <w:rPr/>
        <w:t xml:space="preserve"> K žádosti o zápis do seznamu energetických auditorů podle odstavce 6 se připojí doklad o složení odborné zkoušky.</w:t>
      </w:r>
    </w:p>
    <w:p>
      <w:pPr>
        <w:ind w:left="0" w:right="0"/>
      </w:pPr>
      <w:r>
        <w:rPr>
          <w:b/>
          <w:bCs/>
        </w:rPr>
        <w:t xml:space="preserve">(8)</w:t>
      </w:r>
      <w:r>
        <w:rPr/>
        <w:t xml:space="preserve"> Ministerstvo si za účelem prokázání bezúhonnosti uchazeče vyžádá podle zvláštního právního předpisu</w:t>
      </w:r>
      <w:r>
        <w:rPr>
          <w:vertAlign w:val="superscript"/>
        </w:rPr>
        <w:t xml:space="preserve">6h</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(9)</w:t>
      </w:r>
      <w:r>
        <w:rPr/>
        <w:t xml:space="preserve"> Pokud jsou splněny podmínky pro zápis do seznamu energetických auditorů, obdrží uchazeč osvědčení o odborné způsobilosti energetického auditora. Nejsou-li splněny podmínky pro zápis do seznamu energetických auditorů, obdrží uchazeč písemné rozhodnutí ministerstva o zamítnutí žádosti. Oprávnění k činnosti energetického auditora vzniká též marným uplynutím lhůty a způsobem podle § 28 až 30 zákona o volném pohybu služeb.</w:t>
      </w:r>
    </w:p>
    <w:p>
      <w:pPr>
        <w:ind w:left="0" w:right="0"/>
      </w:pPr>
      <w:r>
        <w:rPr>
          <w:b/>
          <w:bCs/>
        </w:rPr>
        <w:t xml:space="preserve">(10)</w:t>
      </w:r>
      <w:r>
        <w:rPr/>
        <w:t xml:space="preserve"> Ministerstvo nepřipustí ke zkoušce nebo nezapíše do seznamu energetických auditorů 3 roky od podání žádosti uchazeče, který v žádostech uvedl nepravdivé informace prokazující jeho odbornou způsobilost, zejména o dosaženém vzdělání, délce praxe a provedených auditech.</w:t>
      </w:r>
    </w:p>
    <w:p>
      <w:pPr>
        <w:ind w:left="0" w:right="0"/>
      </w:pPr>
      <w:r>
        <w:rPr>
          <w:b/>
          <w:bCs/>
        </w:rPr>
        <w:t xml:space="preserve">(11)</w:t>
      </w:r>
      <w:r>
        <w:rPr/>
        <w:t xml:space="preserve"> Energetický audit nesmí u zadavatele podle § 9 odst. 3 písm. a) a b) provést energetický auditor,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majetkovou účast ve společnosti nebo družstvu, které jsou zadavatelem energetického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společníkem společnosti nebo členem družstva, které jsou zadavatelem, je statutárním orgánem nebo členem statutárního orgánu zadavatele anebo je v pracovním nebo obdobném vztahu k zadavateli,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blízkou</w:t>
      </w:r>
      <w:r>
        <w:rPr>
          <w:vertAlign w:val="superscript"/>
        </w:rPr>
        <w:t xml:space="preserve">7</w:t>
      </w:r>
      <w:r>
        <w:rPr/>
        <w:t xml:space="preserve">) osobám, které mají u fyzických osob nebo v právnických osobách, jež jsou zadavatelem energetického auditu, postavení, které by mohlo ovlivnit činnost energetického auditora.</w:t>
      </w:r>
    </w:p>
    <w:p>
      <w:pPr>
        <w:ind w:left="0" w:right="0"/>
      </w:pPr>
      <w:r>
        <w:rPr>
          <w:b/>
          <w:bCs/>
        </w:rPr>
        <w:t xml:space="preserve">(12)</w:t>
      </w:r>
      <w:r>
        <w:rPr/>
        <w:t xml:space="preserve"> Energetický auditor musí být pojištěn pro případ odpovědnosti za škodu, která by mohla vzniknout v souvislosti s výkonem činnosti energetického auditora, a to tak, aby rozsah pojistného plnění byl úměrný možným škodám, které lze v rozumné míře předpokládat. Pojištění musí trvat po celou dobu výkonu auditorské činnosti.</w:t>
      </w:r>
    </w:p>
    <w:p>
      <w:pPr>
        <w:ind w:left="0" w:right="0"/>
      </w:pPr>
      <w:r>
        <w:rPr>
          <w:b/>
          <w:bCs/>
        </w:rPr>
        <w:t xml:space="preserve">(13)</w:t>
      </w:r>
      <w:r>
        <w:rPr/>
        <w:t xml:space="preserve"> Energetický auditor je povinen zachovat mlčenlivost o všech skutečnostech týkajících se fyzické nebo právnické osoby, o kterých se dozvěděl v souvislosti s prováděním energetického auditu na jejím energetickém hospodářství a budovách. Získané skutečnosti nesmí použít ke svému prospěchu nebo k prospěchu nebo újmě třetí osoby. Zprostit energetického auditora mlčenlivosti může pouze fyzická nebo právnická osoba, na jejímž energetickém hospodářství a budovách byl proveden energetický audit, nebo stanoví-li tak jiný zákon.</w:t>
      </w:r>
    </w:p>
    <w:p>
      <w:pPr>
        <w:ind w:left="0" w:right="0"/>
      </w:pPr>
      <w:r>
        <w:rPr>
          <w:b/>
          <w:bCs/>
        </w:rPr>
        <w:t xml:space="preserve">(14)</w:t>
      </w:r>
      <w:r>
        <w:rPr/>
        <w:t xml:space="preserve"> Energetický auditor opatřuje zprávu o energetickém auditu vlastnoručním podpisem, svým jménem a číslem, pod nímž je zapsán v seznamu energetických auditorů vedeném ministerstvem. Evidenční číslo energetického auditora nesmí být auditorem používáno na jiných dokumentech, než jsou energetický audit, průkaz budovy, inspekce kotle, klimatizačního zařízení, podklady pro výběrová řízení na tyto činnosti a vyhodnocení účinků plnění energetických auditů.</w:t>
      </w:r>
    </w:p>
    <w:p>
      <w:pPr>
        <w:ind w:left="0" w:right="0"/>
      </w:pPr>
      <w:r>
        <w:rPr>
          <w:b/>
          <w:bCs/>
        </w:rPr>
        <w:t xml:space="preserve">(15)</w:t>
      </w:r>
      <w:r>
        <w:rPr/>
        <w:t xml:space="preserve"> Energetický auditor je povinen vést chronologický seznam energetických auditů a ostatních činností opatřených číslem, pod nímž je zapsán v seznamu energetických auditorů vedeném ministerstvem. Tento seznam energetických auditů a ostatních činností za uplynulý rok je povinen předložit na vyžádání nebo každoročně vždy do 31. března ministerstvu, a to i když energetické audity nebo ostatní činnosti neprováděl.</w:t>
      </w:r>
    </w:p>
    <w:p>
      <w:pPr>
        <w:ind w:left="0" w:right="0"/>
      </w:pPr>
      <w:r>
        <w:rPr>
          <w:b/>
          <w:bCs/>
        </w:rPr>
        <w:t xml:space="preserve">(16)</w:t>
      </w:r>
      <w:r>
        <w:rPr/>
        <w:t xml:space="preserve"> Seznam energetických auditů a ostatních činností, který předkládá energetický auditor podle odstavce 15, obsahuje název zadavatele, název zařízení, jeho roční spotřebu energie v GJ, navržené úspory v GJ a datum, kdy byl energetický audit, průkaz nebo inspekce kotlů nebo klimatizačních zařízení objednán a vyhotoven.</w:t>
      </w:r>
    </w:p>
    <w:p>
      <w:pPr>
        <w:ind w:left="0" w:right="0"/>
      </w:pPr>
      <w:r>
        <w:rPr>
          <w:b/>
          <w:bCs/>
        </w:rPr>
        <w:t xml:space="preserve">(17)</w:t>
      </w:r>
      <w:r>
        <w:rPr/>
        <w:t xml:space="preserve"> Dokumenty podle odstavce 14 označené uchazečem o zápis do seznamu energetických auditorů nebo energetickým auditorem se předkládají v originále nebo notářsky ověřené kopii.</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 v rozsahu své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o přidělování dotací za podmínek stanovených nařízením vlády (§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vývoj účinnosti užití energie a energetické náročnosti budov a působí na snižování její spotřeby a snížení negativních dopadů na životní prostředí při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zabezpečuje činnosti spojené s poradenstvím, vzděláváním a propagací efektivního využívání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obsahovém zaměření zkoušek energetických auditorů, osob zpracovávajících průkazy podle § 6a odst. 7 nebo provádějících kontroly podle § 6 odst. 5 a 8, formě a termínu jejich konání; vydává zkušební řád pro zkoušky energetických auditorů,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zápisu do seznamu energetických auditorů a vydává osvědčení o odborné způsobilosti energetického auditora, dále vydává osvědčení o odborné způsobilosti osob zpracovávajících průkazy podle § 6a odst. 7 nebo provádějících kontroly podle § 6 odst. 5 a 8,</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rozhoduje o zrušení zápisu energetického auditora v seznamu auditorů na základě žádosti energetického auditora, nebo přestal-li energetický auditor splňovat některý z předpokladů pro výkon činnosti energetického auditora vymezených v § 10 odst. 2 nebo porušil-li energetický auditor povinnost stanovenou v § 10 odst. 10 až 14 nebo nedodržuje-li opakovaně povinnosti pro provádění a zpracování energetického auditu stanovené tímto zákonem nebo nevykonává-li činnost energetického auditora déle než 5 let nebo pokud energetický auditor zemřel,</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informuje Evropskou komisi o plnění závazků vyplývajících ze směrnic a rozhodnutí Evropského parlamentu a Rady.</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Řízení o zrušení zápisu v seznamu energetických auditorů</w:t>
      </w:r>
    </w:p>
    <w:p>
      <w:pPr>
        <w:ind w:left="0" w:right="0"/>
      </w:pPr>
      <w:r>
        <w:rPr>
          <w:b/>
          <w:bCs/>
        </w:rPr>
        <w:t xml:space="preserve">(1)</w:t>
      </w:r>
      <w:r>
        <w:rPr/>
        <w:t xml:space="preserve"> Ministerstvo zruší zápis energetického auditora v seznamu auditorů, poruší-li auditor povinnosti stanovené mu v § 9 tohoto zákona (dále jen „provinění“). O zrušení zápisu v seznamu energetických auditorů rozhoduje ministerstvo v řízení, které se zahajuje na základě podání doručeného ministerstvu nebo na základě podnětu ze Státní energetické inspekce nebo z úřední moci ministerstva.</w:t>
      </w:r>
    </w:p>
    <w:p>
      <w:pPr>
        <w:ind w:left="0" w:right="0"/>
      </w:pPr>
      <w:r>
        <w:rPr>
          <w:b/>
          <w:bCs/>
        </w:rPr>
        <w:t xml:space="preserve">(2)</w:t>
      </w:r>
      <w:r>
        <w:rPr/>
        <w:t xml:space="preserve"> Řízení o zrušení zápisu v seznamu energetických auditorů může být zahájeno do 6 měsíců ode dne, kdy se ministerstvo dozvědělo o provinění, nejpozději však do 3 let ode dne, kdy k provinění došlo.</w:t>
      </w:r>
    </w:p>
    <w:p>
      <w:pPr>
        <w:ind w:left="0" w:right="0"/>
      </w:pPr>
      <w:r>
        <w:rPr>
          <w:b/>
          <w:bCs/>
        </w:rPr>
        <w:t xml:space="preserve">(3)</w:t>
      </w:r>
      <w:r>
        <w:rPr/>
        <w:t xml:space="preserve"> Návrh na zahájení řízení musí mít písemnou formu a musí být skutkově vymezen. Důvody uvedené v návrhu na zahájení řízení nesmí být po zahájení řízení měněny.</w:t>
      </w:r>
    </w:p>
    <w:p>
      <w:pPr>
        <w:ind w:left="0" w:right="0"/>
      </w:pPr>
      <w:r>
        <w:rPr>
          <w:b/>
          <w:bCs/>
        </w:rPr>
        <w:t xml:space="preserve">(4)</w:t>
      </w:r>
      <w:r>
        <w:rPr/>
        <w:t xml:space="preserve"> Energetický auditor, proti kterému je řízení vedeno, má právo vyjádřit se k návrhu podle odstavce 3, k důvodům v návrhu uvedeným, ke způsobu zjištění jeho provinění, k výsledkům kontroly Státní energetické inspekce; dále má právo navrhovat důkazy a jejich doplnění, klást svědkům nebo znalcům otázky při ústním jednání.</w:t>
      </w:r>
    </w:p>
    <w:p>
      <w:pPr>
        <w:ind w:left="0" w:right="0"/>
      </w:pPr>
      <w:r>
        <w:rPr>
          <w:b/>
          <w:bCs/>
        </w:rPr>
        <w:t xml:space="preserve">(5)</w:t>
      </w:r>
      <w:r>
        <w:rPr/>
        <w:t xml:space="preserve"> Ministerstvo může rozhodnout i bez ústního jednání, jestliže s tím energetický auditor souhlasí. Má se za to, že souhlas je udělen také tehdy, nevyjádří-li energetický auditor do 14 dnů od doručení výzvy ministerstva svůj nesouhlas s takovým projednáním věci; o tom musí být ve výzvě poučení.</w:t>
      </w:r>
    </w:p>
    <w:p>
      <w:pPr>
        <w:ind w:left="0" w:right="0"/>
      </w:pPr>
      <w:r>
        <w:rPr>
          <w:b/>
          <w:bCs/>
        </w:rPr>
        <w:t xml:space="preserve">(6)</w:t>
      </w:r>
      <w:r>
        <w:rPr/>
        <w:t xml:space="preserve"> Podkladem pro vydání rozhodnutí jsou vždy výsledky kontroly provedené Státní energetickou inspekcí; tato kontrola se provádí v řízení nebo může být provedena i před zahájením řízení, jde-li o řízení zahájené z podnětu Státní energetické inspekce.</w:t>
      </w:r>
    </w:p>
    <w:p>
      <w:pPr>
        <w:ind w:left="0" w:right="0"/>
      </w:pPr>
      <w:r>
        <w:rPr>
          <w:b/>
          <w:bCs/>
        </w:rPr>
        <w:t xml:space="preserve">(7)</w:t>
      </w:r>
      <w:r>
        <w:rPr/>
        <w:t xml:space="preserve"> Ministerstvo může na návrh Státní energetické inspekce v případě méně závažných provinění rozhodnout o přezkoušení energetického auditora. Neuspěje-li energetický auditor při přezkoušení, ministerstvo zruší rozhodnutím zápis v seznamu energetických auditorů.</w:t>
      </w:r>
    </w:p>
    <w:p>
      <w:pPr>
        <w:ind w:left="0" w:right="0"/>
      </w:pPr>
      <w:r>
        <w:rPr>
          <w:b/>
          <w:bCs/>
        </w:rPr>
        <w:t xml:space="preserve">(8)</w:t>
      </w:r>
      <w:r>
        <w:rPr/>
        <w:t xml:space="preserve"> Energetický auditor je povinen do 14 dnů po nabytí právní moci rozhodnutí o zrušení zápisu do seznamu energetických auditorů vrátit ministerstvu originál osvědčení.</w:t>
      </w:r>
    </w:p>
    <w:p>
      <w:pPr>
        <w:ind w:left="0" w:right="0"/>
      </w:pPr>
      <w:r>
        <w:rPr>
          <w:b/>
          <w:bCs/>
        </w:rPr>
        <w:t xml:space="preserve">(9)</w:t>
      </w:r>
      <w:r>
        <w:rPr/>
        <w:t xml:space="preserve"> Energetický auditor, jemuž byl zrušen zápis do seznamu energetických auditorů, se může přihlásit ke složení zkoušky podle § 10 tohoto zákona nejdříve po uplynutí 1 roku od nabytí právní moci rozhodnutí o zrušení zápisu do seznamu energetických auditorů.</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 12</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vlastník nebo provozovatel kotle spalujícího kapalná, plynná nebo pevná paliva se jmenovitým výkonem do 200 kW, nejde-li o provozovatele uvedeného v § 6 odst. 6, nezajistí pravidelnou kontrolu jeho účinnosti podle § 6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nebo provozovatel zařízení sloužícího pro vytápění se jmenovitým výkonem nad 20 kW a staršího 15 let od data uvedení do provozu nezajistí jednorázovou kontrolu kotle nebo vnitřních rozvodů tepelné energie podle § 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nebo provozovatel kotle spalujícího kapalná, plynná nebo pevná paliva se jmenovitým výkonem nad 200 kW nezajistí pravidelnou kontrolu jeho účinnosti podle § 6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nebo provozovatel klimatizačního systému se jmenovitým chladicím výkonem vyšším než 12 kW nezajistí pravidelnou jeho kontrolu podle § 6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provozovatel zařízení na rozvod tepelné energie nebo vlastník vnitřního rozvodu tepelné energie nebo chladu nezajistí účinnost užití energie nebo vybavení rozvodů nebo vnitřních rozvodů tepelné energie nebo chladu podle § 6 odst. 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stavebník nebo jako vlastník budovy 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vlastník budovy 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stavebník nebo jako vlastník budovy nevybaví vnitřní tepelné zařízení budovy přístroji regulujícími dodávku tepelné energie konečným spotřebitelům podle § 6a odst. 10 ve lhůtě podle § 14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konečný spotřebitel v rozporu s § 6a odst. 10 neumožní instalaci nebo údržbu a kontrolu přístrojů regulujících dodávku tepelné energie konečným spotřebitelům,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budovy se neřídí pravidly pro vytápění nebo chlazení anebo dodávku teplé vody podle § 6a odst. 11,</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vlastník energetického hospodářství nebo budovy, které byly povinně podrobeny energetickému auditu nebo na zpracování jejich auditu byla využita státní dotace, 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osoba uvedená v § 9 odst. 3 písm. a) nebo c) nepodrobí energetické hospodářství nebo budovu, k nimž má vlastnické nebo jiné užívací právo, energetickému auditu ve lhůtě podle § 14 odst. 3,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osoba mající jiné užívací právo než právo vlastnické k energetickému hospodářství nebo budově neposkytne v rozporu s § 9 odst. 7 vlastníku při plnění povinnosti podle § 9 odst. 3 součinnost.</w:t>
      </w:r>
    </w:p>
    <w:p>
      <w:pPr>
        <w:ind w:left="0" w:right="0"/>
      </w:pPr>
      <w:r>
        <w:rPr>
          <w:b/>
          <w:bCs/>
        </w:rPr>
        <w:t xml:space="preserve">(2)</w:t>
      </w:r>
      <w:r>
        <w:rPr/>
        <w:t xml:space="preserve"> Za přestu pek lz e uložit p o kutu do 1 00 000 Kč.</w:t>
      </w:r>
    </w:p>
    <w:p>
      <w:pPr>
        <w:pStyle w:val="Heading3"/>
      </w:pPr>
      <w:r>
        <w:rPr>
          <w:b/>
          <w:bCs/>
        </w:rPr>
        <w:t xml:space="preserve">§ 12a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osoba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vlastník nebo provozovatel kotle spalujícího kapalná, plynná nebo pevná paliva se jmenovitým výkonem do 200 kW, nejde-li o provozovatele uvedeného v § 6 odst. 6, nezajistí pravidelnou kontrolu jeho účinnosti podle § 6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vlastník nebo provozovatel zařízení sloužícího pro vytápění se jmenovitým výkonem nad 20 kW a staršího 15 let od data uvedení do provozu nezajistí jednorázovou kontrolu kotle nebo vnitřních rozvodů tepelné energie podle § 6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vlastník nebo provozovatel kotle spalujícího kapalná, plynná nebo pevná paliva se jmenovitým výkonem nad 200 kW nezajistí pravidelnou kontrolu jeho účinnosti podle § 6 odst. 4,</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nebo provozovatel klimatizačního systému se jmenovitým chladicím výkonem vyšším než 12 kW nezajistí pravidelnou jeho kontrolu podle § 6 odst. 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nebo provozovatel zařízení na rozvod tepelné energie nebo vlastník vnitřního rozvodu tepelné energie nebo chladu nezajistí účinnost užití energie nebo vybavení rozvodů nebo vnitřních rozvodů tepelné energie nebo chladu podle § 6 odst. 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stavebník nebo jako vlastník budovy 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vlastník budovy 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stavebník nebo jako vlastník budovy nevybaví vnitřní tepelné zařízení budovy přístroji regulujícími dodávku tepelné energie konečným spotřebitelům podle § 6a odst. 10 ve lhůtě podle § 14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konečný spotřebitel v rozporu s § 6a odst. 10 neumožní instalaci nebo údržbu a kontrolu přístrojů regulujících dodávku tepelné energie konečným spotřebitelům,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budovy se neřídí pravidly pro vytápění nebo chlazení anebo dodávku teplé vody podle § 6a odst. 11,</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vlastník energetického hospodářství nebo budovy, které byly povinně podrobeny energetickému auditu nebo na zpracování jejich auditu byla využita státní dotace, 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osoba uvedená v § 9 odst. 3 písm. a) nebo c) nepodrobí energetické hospodářství nebo budovu, k nimž má vlastnické nebo jiné užívací právo, energetickému auditu ve lhůtě podle § 14 odst. 3,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osoba mající jiné užívací právo než právo vlastnické k energetickému hospodářství nebo budově neposkytne v rozporu s § 9 odst. 7 vlastníku při plnění povinnosti podle § 9 odst. 3 součinnost.</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zrušeno zákonem č. </w:t>
      </w:r>
      <w:hyperlink r:id="rId7" w:history="1">
        <w:r>
          <w:rPr>
            <w:color w:val="darkblue"/>
            <w:u w:val="single"/>
          </w:rPr>
          <w:t xml:space="preserve">299/2011 Sb.</w:t>
        </w:r>
      </w:hyperlink>
      <w:r>
        <w:rPr/>
        <w:t xml:space="preserve"> (účinnost: 13. listopadu 2011)</w:t>
      </w:r>
    </w:p>
    <w:p>
      <w:pPr>
        <w:ind w:left="560" w:right="0" w:hanging="560"/>
        <w:tabs>
          <w:tab w:val="right" w:leader="none" w:pos="500"/>
          <w:tab w:val="left" w:leader="none" w:pos="560"/>
        </w:tabs>
      </w:pPr>
      <w:r>
        <w:rPr/>
        <w:t xml:space="preserve">	</w:t>
      </w:r>
      <w:r>
        <w:rPr>
          <w:b/>
          <w:bCs/>
        </w:rPr>
        <w:t xml:space="preserve">o)</w:t>
      </w:r>
      <w:r>
        <w:rPr/>
        <w:t xml:space="preserve">	</w:t>
      </w:r>
      <w:r>
        <w:rPr/>
        <w:t xml:space="preserve">zrušeno zákonem č. </w:t>
      </w:r>
      <w:hyperlink r:id="rId7" w:history="1">
        <w:r>
          <w:rPr>
            <w:color w:val="darkblue"/>
            <w:u w:val="single"/>
          </w:rPr>
          <w:t xml:space="preserve">299/2011 Sb.</w:t>
        </w:r>
      </w:hyperlink>
      <w:r>
        <w:rPr/>
        <w:t xml:space="preserve"> (účinnost: 13. listopadu 2011)</w:t>
      </w:r>
    </w:p>
    <w:p>
      <w:pPr>
        <w:ind w:left="0" w:right="0"/>
      </w:pPr>
      <w:r>
        <w:rPr>
          <w:b/>
          <w:bCs/>
        </w:rPr>
        <w:t xml:space="preserve">(2)</w:t>
      </w:r>
      <w:r>
        <w:rPr/>
        <w:t xml:space="preserve"> Právnická osoba nebo podnikající fyzická osoba se dopustí správního deliktu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držitel licence na podnikání v energetických odvětvích nebo dodavatel tuhých a kapalných paliv nebo zpracovatel komunálních odpadů neposkytne pořizovateli na jeho výzvu potřebné podklady a údaje podle § 4 odst.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výrobce elektřiny nebo tepelné energie nezajistí u nově zřizovaných zařízení pro výrobu elektřiny nebo tepelné energie nebo u zařízení na výrobu elektřiny nebo tepelné energie, u nichž se provádí změna dokončených staveb,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výrobce nebo dovozce nebo prodejce uvede na trh spotřebiče energie v rozporu s § 6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provozovatel budov pro účely uvedené v § 6a odst. 6 neumístí průkaz na veřejně přístupném místě v budově,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tepla se zdrojem o součtovém výkonu zdroje vyšším než 5 MW</w:t>
      </w:r>
      <w:r>
        <w:rPr>
          <w:vertAlign w:val="subscript"/>
        </w:rPr>
        <w:t xml:space="preserve">t</w:t>
      </w:r>
      <w:r>
        <w:rPr/>
        <w:t xml:space="preserve"> v rozporu s § 7 odst. 1 nepodrobí dokumentaci stavby energetickému auditu z hlediska zavedení výroby elektřiny,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výrobce elektřiny z tepelných procesů se zdrojem o součtovém výkonu zdroje vyšším než 10 MW</w:t>
      </w:r>
      <w:r>
        <w:rPr>
          <w:vertAlign w:val="subscript"/>
        </w:rPr>
        <w:t xml:space="preserve">e</w:t>
      </w:r>
      <w:r>
        <w:rPr/>
        <w:t xml:space="preserve"> v rozporu s § 7 odst. 2 nepodrobí dokumentaci stavby energetickému auditu z hlediska zavedení dodávky tepla,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dodavatel výrobků spojených se spotřebou energie uvedených v § 8 odst. 1 poruší některou z povinností podle § 8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obchodník obchodující s výrobky spojenými se spotřebou energie uvedenými v § 8 odst. 1 poruší některou z povinností podle § 8 odst. 4,</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dodavatel výrobků spojených se spotřebou energie uvedených v § 8 odst. 1 nebo jako obchodník obchodující s těmito výrobky poruší některou z povinností podle § 8 odst. 5,</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výrobce, jeho zplnomocněný zástupce nebo dovozce uvádějící na trh nebo do provozu výrobky spojené se spotřebou energie uvedené v § 8a odst. 1 poruší některou z povinností podle § 8a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výrobce, zplnomocněný zástupce nebo dovozce uvádějící na trh nebo do provozu výrobky spojené se spotřebou energie uvedené v § 8a odst. 1 poruší některou z povinností podle § 8a odst. 3,</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dodavatel výrobků spojených se spotřebou energie uvedených v § 8 odst. 1 nesplní opatření podle § 94 odst. 2 písm. c), d) nebo e) energetického zákona,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výrobce, zplnomocněný zástupce nebo dovozce výrobků spojených se spotřebou energie uvedených v § 8a odst. 1 nesplní opatření podle § 94 odst. 2 písm. c), d) nebo e) energetického zákona.</w:t>
      </w:r>
    </w:p>
    <w:p>
      <w:pPr>
        <w:ind w:left="0" w:right="0"/>
      </w:pPr>
      <w:r>
        <w:rPr>
          <w:b/>
          <w:bCs/>
        </w:rPr>
        <w:t xml:space="preserve">(3)</w:t>
      </w:r>
      <w:r>
        <w:rPr/>
        <w:t xml:space="preserve"> Společenství vlastníků jednotek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nesplní požadavky podle § 6a odst. 1, nejde-li o případ podle § 6a odst. 8, nebo v rozporu s § 6a odst. 2 splnění těchto požadavků nedoloží průkazem podle § 6a odst. 3, 4 a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6a odst. 9 překročí měrné ukazatele spotřeby tepla pro vytápění nebo chlazení anebo pro přípravu teplé vody,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nevybaví vnitřní tepelné zařízení budovy přístroji regulujícími dodávku tepelné energie konečným spotřebitelům podle § 6a odst. 10 ve lhůtě podle § 14 odst. 2,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neřídí pravidly pro vytápění nebo chlazení anebo dodávku teplé vody podle § 6a odst. 11.</w:t>
      </w:r>
    </w:p>
    <w:p>
      <w:pPr>
        <w:ind w:left="0" w:right="0"/>
      </w:pPr>
      <w:r>
        <w:rPr>
          <w:b/>
          <w:bCs/>
        </w:rPr>
        <w:t xml:space="preserve">(4)</w:t>
      </w:r>
      <w:r>
        <w:rPr/>
        <w:t xml:space="preserve"> Energetický auditor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9 odst. 1 zpracuje neobjektivní zprávu o energetickém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neposkytne na vyžádání kopii zprávy o energetickém auditu podle § 9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provede energetický audit v případech uvedených v § 10 odst. 11,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energetický audit bez pojištění podle § 10 odst. 12,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poruší povinnost zachovávat mlčenlivost podle § 10 odst. 13,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použije evidenční číslo energetického auditora v rozporu s § 10 odst. 14,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nevede chronologický seznam energetických auditů a ostatních činností nebo jej na vyžádání nepředloží podle § 10 odst. 15.</w:t>
      </w:r>
    </w:p>
    <w:p>
      <w:pPr>
        <w:ind w:left="0" w:right="0"/>
      </w:pPr>
      <w:r>
        <w:rPr>
          <w:b/>
          <w:bCs/>
        </w:rPr>
        <w:t xml:space="preserve">(5)</w:t>
      </w:r>
      <w:r>
        <w:rPr/>
        <w:t xml:space="preserve">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osoba provádějící kontrolu kotlů uvedených v § 6 odst. 2 až 4 nesplňuje požadavky uvedené v § 6 odst.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osoba provádějící kontrolu klimatizačních systémů uvedených v § 6 odst. 7 nesplňuje požadavky podle § 6 odst. 8,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zpracovatel průkazu nesplňuje požadavky podle § 6a odst. 7.</w:t>
      </w:r>
    </w:p>
    <w:p>
      <w:pPr>
        <w:ind w:left="0" w:right="0"/>
      </w:pPr>
      <w:r>
        <w:rPr>
          <w:b/>
          <w:bCs/>
        </w:rPr>
        <w:t xml:space="preserve">(6)</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Kč, jde-li o správní delikt podle odstavce 1 nebo odstavce 3 písm. b) nebo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správní delikt podle odstavce 3 písm. a) nebo c), odstavce 4 písm. b), c), d), e), f) nebo g) nebo odstavce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5 000 000 Kč, jde-li o správní delikt podle odstavce 2 nebo odstavce 4 písm. a).</w:t>
      </w:r>
    </w:p>
    <w:p>
      <w:pPr>
        <w:pStyle w:val="Heading3"/>
      </w:pPr>
      <w:r>
        <w:rPr>
          <w:b/>
          <w:bCs/>
        </w:rPr>
        <w:t xml:space="preserve">§ 12b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výměry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1 roku ode dne, kdy se o něm dozvěděl, nejpozději však do 2 let ode dne, kdy byl spáchán.</w:t>
      </w:r>
    </w:p>
    <w:p>
      <w:pPr>
        <w:ind w:left="0" w:right="0"/>
      </w:pPr>
      <w:r>
        <w:rPr>
          <w:b/>
          <w:bCs/>
        </w:rPr>
        <w:t xml:space="preserve">(4)</w:t>
      </w:r>
      <w:r>
        <w:rPr/>
        <w:t xml:space="preserve"> Správní delikty podle tohoto zákona projednává Státní energetická inspekce</w:t>
      </w:r>
      <w:r>
        <w:rPr>
          <w:vertAlign w:val="superscript"/>
        </w:rPr>
        <w:t xml:space="preserve">7a</w:t>
      </w:r>
      <w:r>
        <w:rPr/>
        <w:t xml:space="preserve">). V prvním stupni územní inspektorát, v jehož územní působnosti se nachází místo spáchání správního deliktu. O odvolání rozhoduje ústřední inspektorát.</w:t>
      </w:r>
    </w:p>
    <w:p>
      <w:pPr>
        <w:ind w:left="0" w:right="0"/>
      </w:pPr>
      <w:r>
        <w:rPr>
          <w:b/>
          <w:bCs/>
        </w:rPr>
        <w:t xml:space="preserve">(5)</w:t>
      </w:r>
      <w:r>
        <w:rPr/>
        <w:t xml:space="preserve"> Na odpovědnost za jednání, k němuž došlo při podnikání fyzické osoby</w:t>
      </w:r>
      <w:r>
        <w:rPr>
          <w:vertAlign w:val="superscript"/>
        </w:rPr>
        <w:t xml:space="preserve">7b</w:t>
      </w:r>
      <w:r>
        <w:rPr/>
        <w:t xml:space="preserve">) nebo v přímé souvislosti s ním, se vztahují ustanovení zákona o odpovědnosti a postihu právnické osoby.</w:t>
      </w:r>
    </w:p>
    <w:p>
      <w:pPr>
        <w:ind w:left="0" w:right="0"/>
      </w:pPr>
      <w:r>
        <w:rPr>
          <w:b/>
          <w:bCs/>
        </w:rPr>
        <w:t xml:space="preserve">(6)</w:t>
      </w:r>
      <w:r>
        <w:rPr/>
        <w:t xml:space="preserve"> Pokuty vybírá a vymáhá Státní energetická inspekce.</w:t>
      </w:r>
    </w:p>
    <w:p>
      <w:pPr>
        <w:ind w:left="0" w:right="0"/>
      </w:pPr>
      <w:r>
        <w:rPr>
          <w:b/>
          <w:bCs/>
        </w:rPr>
        <w:t xml:space="preserve">(7)</w:t>
      </w:r>
      <w:r>
        <w:rPr/>
        <w:t xml:space="preserve"> Příjem z pokut je příjmem státního rozpočtu.</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w:t>
      </w:r>
      <w:r>
        <w:rPr/>
        <w:t xml:space="preserve"> při ochraně zájmů chráněných tímto zákonem v řízeních, která provádí Ministerstvo obrany, Ministerstvo vnitra nebo Ministerstvo spravedlnosti, pokud u některých staveb tato ministerstva vykonávají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1. V těchto řízeních vydává závazná stanoviska, jejichž rozsah stanoví prováděcí právní předpis.</w:t>
      </w:r>
    </w:p>
    <w:p>
      <w:pPr>
        <w:ind w:left="0" w:right="0"/>
      </w:pPr>
      <w:r>
        <w:rPr>
          <w:b/>
          <w:bCs/>
        </w:rPr>
        <w:t xml:space="preserve">(3)</w:t>
      </w:r>
      <w:r>
        <w:rPr/>
        <w:t xml:space="preserve"> Státní energetická inspekce je dotčeným orgánem státní správy při pořizování politiky územního rozvoje a územní plánovací dokumentace, pokud umisťují nebo mění zdroje energie, distribuční soustavy určené k distribuci elektrické energie a plynu, nebo rozvodná tepelná zařízení. V těchto případech vydává stanovisko v rozsahu stanoveném prováděcím právním předpisem.</w:t>
      </w:r>
    </w:p>
    <w:p>
      <w:pPr>
        <w:ind w:left="0" w:right="0"/>
      </w:pPr>
      <w:r>
        <w:rPr>
          <w:b/>
          <w:bCs/>
        </w:rPr>
        <w:t xml:space="preserve">(4)</w:t>
      </w:r>
      <w:r>
        <w:rPr/>
        <w:t xml:space="preserve"> Prováděcí právní předpis stanoví podmínky pro určení energetických zařízení, k nimž vydává stanovisko podle odstavce 3 a závazné stanovisko podle odstavce 2 ministerstvo nebo Státní energetická inspekce.</w:t>
      </w:r>
    </w:p>
    <w:p>
      <w:pPr>
        <w:pStyle w:val="Heading3"/>
      </w:pPr>
      <w:r>
        <w:rPr>
          <w:b/>
          <w:bCs/>
        </w:rPr>
        <w:t xml:space="preserve">§ 13a</w:t>
      </w:r>
      <w:r>
        <w:rPr>
          <w:rStyle w:val="hidden"/>
        </w:rPr>
        <w:t xml:space="preserve"> -</w:t>
      </w:r>
      <w:br/>
      <w:r>
        <w:rPr/>
        <w:t xml:space="preserve">Kontrola</w:t>
      </w:r>
    </w:p>
    <w:p>
      <w:pPr>
        <w:ind w:left="0" w:right="0"/>
      </w:pPr>
      <w:r>
        <w:rPr/>
        <w:t xml:space="preserve">Kontrolu dodržování ustanovení tohoto zákona upravuje zvláštní zákon</w:t>
      </w:r>
      <w:r>
        <w:rPr>
          <w:vertAlign w:val="superscript"/>
        </w:rPr>
        <w:t xml:space="preserve">2</w:t>
      </w:r>
      <w:r>
        <w:rPr/>
        <w:t xml:space="preserve">).</w:t>
      </w:r>
    </w:p>
    <w:p>
      <w:pPr>
        <w:pStyle w:val="Heading2"/>
      </w:pPr>
      <w:r>
        <w:rPr>
          <w:b/>
          <w:bCs/>
        </w:rPr>
        <w:t xml:space="preserve">Hlava VI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Není-li v tomto zákoně stanoveno jinak, postupuje se v řízení ve věcech upravených v tomto zákoně podle správního řádu.</w:t>
      </w:r>
      <w:r>
        <w:rPr>
          <w:vertAlign w:val="superscript"/>
        </w:rPr>
        <w:t xml:space="preserve">9</w:t>
      </w:r>
      <w:r>
        <w:rPr/>
        <w:t xml:space="preserve">)</w:t>
      </w:r>
    </w:p>
    <w:p>
      <w:pPr>
        <w:ind w:left="0" w:right="0"/>
      </w:pPr>
      <w:r>
        <w:rPr>
          <w:b/>
          <w:bCs/>
        </w:rPr>
        <w:t xml:space="preserve">(5)</w:t>
      </w:r>
      <w:r>
        <w:rPr/>
        <w:t xml:space="preserve"> Ministerstvo vydá vyhlášku k provedení § 6 až 10 a § 13.</w:t>
      </w:r>
    </w:p>
    <w:p>
      <w:pPr>
        <w:ind w:left="0" w:right="0"/>
      </w:pPr>
      <w:r>
        <w:rPr>
          <w:b/>
          <w:bCs/>
        </w:rPr>
        <w:t xml:space="preserve">(6)</w:t>
      </w:r>
      <w:r>
        <w:rPr/>
        <w:t xml:space="preserve"> Práce na zpracování územní energetické koncepce musí být zahájeny do 1 roku od nabytí účinnosti tohoto zákona.</w:t>
      </w:r>
    </w:p>
    <w:p>
      <w:pPr>
        <w:ind w:left="0" w:right="0"/>
      </w:pPr>
      <w:r>
        <w:rPr>
          <w:b/>
          <w:bCs/>
        </w:rPr>
        <w:t xml:space="preserve">(7)</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35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9" w:history="1">
        <w:r>
          <w:rPr>
            <w:color w:val="darkblue"/>
            <w:u w:val="single"/>
          </w:rPr>
          <w:t xml:space="preserve">2002/91/ES</w:t>
        </w:r>
      </w:hyperlink>
      <w:r>
        <w:rPr>
          <w:sz w:val="19.200000000000003"/>
          <w:szCs w:val="19.200000000000003"/>
        </w:rPr>
        <w:t xml:space="preserve"> ze dne 16. prosince 2002 o energetické náročnosti budov.</w:t>
      </w:r>
    </w:p>
    <w:p>
      <w:pPr>
        <w:ind w:left="560" w:right="0"/>
      </w:pPr>
      <w:r>
        <w:rPr>
          <w:sz w:val="19.200000000000003"/>
          <w:szCs w:val="19.200000000000003"/>
        </w:rPr>
        <w:t xml:space="preserve">Směrnice Evropského parlamentu a Rady </w:t>
      </w:r>
      <w:hyperlink r:id="rId10" w:history="1">
        <w:r>
          <w:rPr>
            <w:color w:val="darkblue"/>
            <w:u w:val="single"/>
          </w:rPr>
          <w:t xml:space="preserve">2009/28/ES</w:t>
        </w:r>
      </w:hyperlink>
      <w:r>
        <w:rPr>
          <w:sz w:val="19.200000000000003"/>
          <w:szCs w:val="19.200000000000003"/>
        </w:rPr>
        <w:t xml:space="preserve"> ze dne 23. dubna 2009 o podpoře využívání energie z obnovitelných zdrojů a o změně a následném zrušení směrnic </w:t>
      </w:r>
      <w:hyperlink r:id="rId11" w:history="1">
        <w:r>
          <w:rPr>
            <w:color w:val="darkblue"/>
            <w:u w:val="single"/>
          </w:rPr>
          <w:t xml:space="preserve">2001/77/ES</w:t>
        </w:r>
      </w:hyperlink>
      <w:r>
        <w:rPr>
          <w:sz w:val="19.200000000000003"/>
          <w:szCs w:val="19.200000000000003"/>
        </w:rPr>
        <w:t xml:space="preserve"> a </w:t>
      </w:r>
      <w:hyperlink r:id="rId12" w:history="1">
        <w:r>
          <w:rPr>
            <w:color w:val="darkblue"/>
            <w:u w:val="single"/>
          </w:rPr>
          <w:t xml:space="preserve">2003/30/ES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3" w:history="1">
        <w:r>
          <w:rPr>
            <w:color w:val="darkblue"/>
            <w:u w:val="single"/>
          </w:rPr>
          <w:t xml:space="preserve">2009/125/ES</w:t>
        </w:r>
      </w:hyperlink>
      <w:r>
        <w:rPr>
          <w:sz w:val="19.200000000000003"/>
          <w:szCs w:val="19.200000000000003"/>
        </w:rPr>
        <w:t xml:space="preserve"> ze dne 21. října 2009 o stanovení rámce pro určení požadavků na ekodesign výrobků spojených se spotřebou energie.</w:t>
      </w:r>
    </w:p>
    <w:p>
      <w:pPr>
        <w:ind w:left="560" w:right="0"/>
      </w:pPr>
      <w:r>
        <w:rPr>
          <w:sz w:val="19.200000000000003"/>
          <w:szCs w:val="19.200000000000003"/>
        </w:rPr>
        <w:t xml:space="preserve">Směrnice Evropského parlamentu a Rady </w:t>
      </w:r>
      <w:hyperlink r:id="rId14" w:history="1">
        <w:r>
          <w:rPr>
            <w:color w:val="darkblue"/>
            <w:u w:val="single"/>
          </w:rPr>
          <w:t xml:space="preserve">2010/30/EU</w:t>
        </w:r>
      </w:hyperlink>
      <w:r>
        <w:rPr>
          <w:sz w:val="19.200000000000003"/>
          <w:szCs w:val="19.200000000000003"/>
        </w:rPr>
        <w:t xml:space="preserve"> ze dne 19. května 2010 o uvádění spotřeby energie a jiných zdrojů na energetických štítcích výrobků spojených se spotřebou energie a v normalizovaných informacích o výrobku.</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Zákon č. </w:t>
      </w:r>
      <w:hyperlink r:id="rId15" w:history="1">
        <w:r>
          <w:rPr>
            <w:color w:val="darkblue"/>
            <w:u w:val="single"/>
          </w:rPr>
          <w:t xml:space="preserve">185/2001 Sb.</w:t>
        </w:r>
      </w:hyperlink>
      <w:r>
        <w:rPr>
          <w:sz w:val="19.200000000000003"/>
          <w:szCs w:val="19.200000000000003"/>
        </w:rPr>
        <w:t xml:space="preserve">, o odpadech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6"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vlády č. </w:t>
      </w:r>
      <w:hyperlink r:id="rId17" w:history="1">
        <w:r>
          <w:rPr>
            <w:color w:val="darkblue"/>
            <w:u w:val="single"/>
          </w:rPr>
          <w:t xml:space="preserve">195/2001 Sb.</w:t>
        </w:r>
      </w:hyperlink>
      <w:r>
        <w:rPr>
          <w:sz w:val="19.200000000000003"/>
          <w:szCs w:val="19.200000000000003"/>
        </w:rPr>
        <w:t xml:space="preserve">, kterým se stanoví podrobnosti obsahu územní energetické koncepce.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18" w:history="1">
        <w:r>
          <w:rPr>
            <w:color w:val="darkblue"/>
            <w:u w:val="single"/>
          </w:rPr>
          <w:t xml:space="preserve">17/1992 Sb.</w:t>
        </w:r>
      </w:hyperlink>
      <w:r>
        <w:rPr>
          <w:sz w:val="19.200000000000003"/>
          <w:szCs w:val="19.200000000000003"/>
        </w:rPr>
        <w:t xml:space="preserve">, o životním prostředí.</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139b odst. 1 a 3 zákona č. </w:t>
      </w:r>
      <w:hyperlink r:id="rId19"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20"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Vyhláška č. </w:t>
      </w:r>
      <w:hyperlink r:id="rId21" w:history="1">
        <w:r>
          <w:rPr>
            <w:color w:val="darkblue"/>
            <w:u w:val="single"/>
          </w:rPr>
          <w:t xml:space="preserve">150/2001 Sb.</w:t>
        </w:r>
      </w:hyperlink>
      <w:r>
        <w:rPr>
          <w:sz w:val="19.200000000000003"/>
          <w:szCs w:val="19.200000000000003"/>
        </w:rPr>
        <w:t xml:space="preserve">, kterou se stanoví minimální účinnost užití energie při výrobě elektřiny a tepelné energie.</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 5 odst. 3 písm. e) a f) zákona č. </w:t>
      </w:r>
      <w:hyperlink r:id="rId22"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3" w:history="1">
        <w:r>
          <w:rPr>
            <w:color w:val="darkblue"/>
            <w:u w:val="single"/>
          </w:rPr>
          <w:t xml:space="preserve">72/1994 Sb.</w:t>
        </w:r>
      </w:hyperlink>
      <w:r>
        <w:rPr>
          <w:sz w:val="19.200000000000003"/>
          <w:szCs w:val="19.200000000000003"/>
        </w:rPr>
        <w:t xml:space="preserve">,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Vyhláška č. </w:t>
      </w:r>
      <w:hyperlink r:id="rId24" w:history="1">
        <w:r>
          <w:rPr>
            <w:color w:val="darkblue"/>
            <w:u w:val="single"/>
          </w:rPr>
          <w:t xml:space="preserve">137/1998 Sb.</w:t>
        </w:r>
      </w:hyperlink>
      <w:r>
        <w:rPr>
          <w:sz w:val="19.200000000000003"/>
          <w:szCs w:val="19.200000000000003"/>
        </w:rPr>
        <w:t xml:space="preserve">, o obecných technických požadavcích na výstavbu.</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 5 odst. 3 písm. a), e) a f) zákona č. </w:t>
      </w:r>
      <w:hyperlink r:id="rId22"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25"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26"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Vyhláška č. </w:t>
      </w:r>
      <w:hyperlink r:id="rId27" w:history="1">
        <w:r>
          <w:rPr>
            <w:color w:val="darkblue"/>
            <w:u w:val="single"/>
          </w:rPr>
          <w:t xml:space="preserve">152/2001 Sb.</w:t>
        </w:r>
      </w:hyperlink>
      <w:r>
        <w:rPr>
          <w:sz w:val="19.200000000000003"/>
          <w:szCs w:val="19.200000000000003"/>
        </w:rPr>
        <w:t xml:space="preserve">, kterou se stanoví pravidla pro vytápění a dodávku teplé užitkové vody, měrné ukazatele spotřeby tepla pro vytápění a pro přípravu teplé užitkové vody a požadavky na vybavení vnitřních tepelných zařízení budov přístroji regulujícími dodávku tepelné energie konečným spotřebitelům.</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28"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29"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30"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31"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32"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Zákon č. </w:t>
      </w:r>
      <w:hyperlink r:id="rId33"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o změně některých zákonů (zákon o uznávání odborné kvalifikace).</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34"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 92 odst. 1 a § 93 odst. 2 zákona č. </w:t>
      </w:r>
      <w:hyperlink r:id="rId16" w:history="1">
        <w:r>
          <w:rPr>
            <w:color w:val="darkblue"/>
            <w:u w:val="single"/>
          </w:rPr>
          <w:t xml:space="preserve">458/2000 Sb.</w:t>
        </w:r>
      </w:hyperlink>
      <w:r>
        <w:rPr>
          <w:sz w:val="19.200000000000003"/>
          <w:szCs w:val="19.200000000000003"/>
        </w:rPr>
        <w:t xml:space="preserve">, o podmínkách podnikání a o výkonu státní zprávy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 2 odst. 2 obchodního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19"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35" w:history="1">
        <w:r>
          <w:rPr>
            <w:color w:val="darkblue"/>
            <w:u w:val="single"/>
          </w:rPr>
          <w:t xml:space="preserve">71/1967 Sb.</w:t>
        </w:r>
      </w:hyperlink>
      <w:r>
        <w:rPr>
          <w:sz w:val="19.200000000000003"/>
          <w:szCs w:val="19.200000000000003"/>
        </w:rPr>
        <w:t xml:space="preserve">, o správním řízení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č. </w:t>
      </w:r>
      <w:hyperlink r:id="rId28"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29"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p>
      <w:pPr>
        <w:pStyle w:val="Heading1"/>
      </w:pPr>
      <w:r>
        <w:rPr>
          <w:b/>
          <w:bCs/>
        </w:rPr>
        <w:t xml:space="preserve">ČÁST DEVATENÁCTÁ (Čl. XXXV) zákona č. 223/2009 Sb. zní:</w:t>
      </w:r>
    </w:p>
    <w:p>
      <w:pPr>
        <w:pStyle w:val="Heading2"/>
      </w:pPr>
      <w:r>
        <w:rPr>
          <w:b/>
          <w:bCs/>
        </w:rPr>
        <w:t xml:space="preserve">Čl. XXXV</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ČÁST PRVNÍ (Čl. II) zákona č. 299/2011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se dokončí podle dosavadních právních předpisů.</w:t>
      </w:r>
    </w:p>
    <w:sectPr>
      <w:headerReference w:type="default" r:id="rId36"/>
      <w:footerReference w:type="default" r:id="rId3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299/2011 Sb. z </w:t>
          </w:r>
          <w:r>
            <w:rPr>
              <w:rStyle w:val="bold"/>
            </w:rPr>
            <w:t xml:space="preserve">13. 11. 2011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1s299" TargetMode="External"/><Relationship Id="rId8" Type="http://schemas.openxmlformats.org/officeDocument/2006/relationships/hyperlink" Target="https://esipa.cz/sbirka/sbsrv.dll/sb?DR=SB&amp;CP=2006s179" TargetMode="External"/><Relationship Id="rId9" Type="http://schemas.openxmlformats.org/officeDocument/2006/relationships/hyperlink" Target="https://esipa.cz/sbirka/sbsrv.dll/sb?DR=SB&amp;CP=32002L0091" TargetMode="External"/><Relationship Id="rId10" Type="http://schemas.openxmlformats.org/officeDocument/2006/relationships/hyperlink" Target="http://eur-lex.europa.eu/LexUriServ/LexUriServ.do?uri=OJ:L:2009:140:0016:01" TargetMode="External"/><Relationship Id="rId11" Type="http://schemas.openxmlformats.org/officeDocument/2006/relationships/hyperlink" Target="https://esipa.cz/sbirka/sbsrv.dll/sb?DR=SB&amp;CP=32001L0077" TargetMode="External"/><Relationship Id="rId12" Type="http://schemas.openxmlformats.org/officeDocument/2006/relationships/hyperlink" Target="https://esipa.cz/sbirka/sbsrv.dll/sb?DR=SB&amp;CP=32003L0030" TargetMode="External"/><Relationship Id="rId13" Type="http://schemas.openxmlformats.org/officeDocument/2006/relationships/hyperlink" Target="https://esipa.cz/sbirka/sbsrv.dll/sb?DR=SB&amp;CP=32009L0125" TargetMode="External"/><Relationship Id="rId14" Type="http://schemas.openxmlformats.org/officeDocument/2006/relationships/hyperlink" Target="https://esipa.cz/sbirka/sbsrv.dll/sb?DR=SB&amp;CP=32010L0030" TargetMode="External"/><Relationship Id="rId15" Type="http://schemas.openxmlformats.org/officeDocument/2006/relationships/hyperlink" Target="https://esipa.cz/sbirka/sbsrv.dll/sb?DR=SB&amp;CP=2001s185" TargetMode="External"/><Relationship Id="rId16" Type="http://schemas.openxmlformats.org/officeDocument/2006/relationships/hyperlink" Target="https://esipa.cz/sbirka/sbsrv.dll/sb?DR=SB&amp;CP=2000s458" TargetMode="External"/><Relationship Id="rId17" Type="http://schemas.openxmlformats.org/officeDocument/2006/relationships/hyperlink" Target="https://esipa.cz/sbirka/sbsrv.dll/sb?DR=SB&amp;CP=2001s195" TargetMode="External"/><Relationship Id="rId18" Type="http://schemas.openxmlformats.org/officeDocument/2006/relationships/hyperlink" Target="https://esipa.cz/sbirka/sbsrv.dll/sb?DR=SB&amp;CP=1992s017" TargetMode="External"/><Relationship Id="rId19" Type="http://schemas.openxmlformats.org/officeDocument/2006/relationships/hyperlink" Target="https://esipa.cz/sbirka/sbsrv.dll/sb?DR=SB&amp;CP=1976s050" TargetMode="External"/><Relationship Id="rId20" Type="http://schemas.openxmlformats.org/officeDocument/2006/relationships/hyperlink" Target="https://esipa.cz/sbirka/sbsrv.dll/sb?DR=SB&amp;CP=2007s393" TargetMode="External"/><Relationship Id="rId21" Type="http://schemas.openxmlformats.org/officeDocument/2006/relationships/hyperlink" Target="https://esipa.cz/sbirka/sbsrv.dll/sb?DR=SB&amp;CP=2001s150" TargetMode="External"/><Relationship Id="rId22" Type="http://schemas.openxmlformats.org/officeDocument/2006/relationships/hyperlink" Target="https://esipa.cz/sbirka/sbsrv.dll/sb?DR=SB&amp;CP=1992s360" TargetMode="External"/><Relationship Id="rId23" Type="http://schemas.openxmlformats.org/officeDocument/2006/relationships/hyperlink" Target="https://esipa.cz/sbirka/sbsrv.dll/sb?DR=SB&amp;CP=1994s072" TargetMode="External"/><Relationship Id="rId24" Type="http://schemas.openxmlformats.org/officeDocument/2006/relationships/hyperlink" Target="https://esipa.cz/sbirka/sbsrv.dll/sb?DR=SB&amp;CP=1998s137" TargetMode="External"/><Relationship Id="rId25" Type="http://schemas.openxmlformats.org/officeDocument/2006/relationships/hyperlink" Target="https://esipa.cz/sbirka/sbsrv.dll/sb?DR=SB&amp;CP=1987s020" TargetMode="External"/><Relationship Id="rId26" Type="http://schemas.openxmlformats.org/officeDocument/2006/relationships/hyperlink" Target="https://esipa.cz/sbirka/sbsrv.dll/sb?DR=SB&amp;CP=2001s291" TargetMode="External"/><Relationship Id="rId27" Type="http://schemas.openxmlformats.org/officeDocument/2006/relationships/hyperlink" Target="https://esipa.cz/sbirka/sbsrv.dll/sb?DR=SB&amp;CP=2001s152" TargetMode="External"/><Relationship Id="rId28" Type="http://schemas.openxmlformats.org/officeDocument/2006/relationships/hyperlink" Target="https://esipa.cz/sbirka/sbsrv.dll/sb?DR=SB&amp;CP=2004s442" TargetMode="External"/><Relationship Id="rId29" Type="http://schemas.openxmlformats.org/officeDocument/2006/relationships/hyperlink" Target="https://esipa.cz/sbirka/sbsrv.dll/sb?DR=SB&amp;CP=1997s022" TargetMode="External"/><Relationship Id="rId30" Type="http://schemas.openxmlformats.org/officeDocument/2006/relationships/hyperlink" Target="https://esipa.cz/sbirka/sbsrv.dll/sb?DR=SB&amp;CP=2000s291" TargetMode="External"/><Relationship Id="rId31" Type="http://schemas.openxmlformats.org/officeDocument/2006/relationships/hyperlink" Target="https://esipa.cz/sbirka/sbsrv.dll/sb?DR=SB&amp;CP=32000R1980" TargetMode="External"/><Relationship Id="rId32" Type="http://schemas.openxmlformats.org/officeDocument/2006/relationships/hyperlink" Target="https://esipa.cz/sbirka/sbsrv.dll/sb?DR=SB&amp;CP=2001s213" TargetMode="External"/><Relationship Id="rId33" Type="http://schemas.openxmlformats.org/officeDocument/2006/relationships/hyperlink" Target="https://esipa.cz/sbirka/sbsrv.dll/sb?DR=SB&amp;CP=2004s018" TargetMode="External"/><Relationship Id="rId34" Type="http://schemas.openxmlformats.org/officeDocument/2006/relationships/hyperlink" Target="https://esipa.cz/sbirka/sbsrv.dll/sb?DR=SB&amp;CP=1994s269" TargetMode="External"/><Relationship Id="rId35" Type="http://schemas.openxmlformats.org/officeDocument/2006/relationships/hyperlink" Target="https://esipa.cz/sbirka/sbsrv.dll/sb?DR=SB&amp;CP=1967s071" TargetMode="External"/><Relationship Id="rId36" Type="http://schemas.openxmlformats.org/officeDocument/2006/relationships/header" Target="header1.xml"/><Relationship Id="rId3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299/2011 Sb. z 13. 11. 2011</dc:title>
  <dc:description>Zákon o hospodaření energií</dc:description>
  <dc:subject/>
  <cp:keywords/>
  <cp:category/>
  <cp:lastModifiedBy/>
  <dcterms:created xsi:type="dcterms:W3CDTF">2011-11-13T00:00:00+01:00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