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Evropských společenství</w:t>
      </w:r>
      <w:r>
        <w:rPr>
          <w:vertAlign w:val="superscript"/>
        </w:rPr>
        <w:t xml:space="preserve">1</w:t>
      </w:r>
      <w:r>
        <w:rPr/>
        <w:t xml:space="preserve">) (dále jen „Společenství“)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energetických spotřebičů.</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energetickým spotřebičem výrobek, který je po uvedení na trh nebo do provozu závislý na energetickém vstupu (elektrická energie, fosilní paliva nebo obnovitelné zdroje energie), aby mohl fungovat v souladu se svým účelem, nebo výrobek určený k výrobě, přenosu nebo měření takové energie, včetně částí závislých na energetickém vstupu, které jsou určeny k zabudování do energetického spotřebiče, a které jsou uváděny na trh anebo do provozu jako jednotlivé části pro konečné uživatele, přičemž u nich lze posoudit vliv na životní prostředí samostatně,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konstrukčními částmi a podsestavami části určené k zabudování do energetického spotřebiče,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ekodesignem zohlednění dopadů výrobků na životní prostředí do konstrukce výrobku s cílem snížit negativní dopady výrobku na životní prostředí během jeho celého životního cyklu,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uvedením na trh první zpřístupnění energetického spotřebiče na trhu Společenství za účelem jeho distribuce nebo používání ve Společenství za úplatu nebo bezúplatně a bez ohledu na způsob prodeje,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zplnomocněným zástupcem fyzická nebo právnická osoba usazená ve Společenství, která byla výrobcem písemně pověřena k tomu, aby jeho jménem plnila zcela nebo zčásti povinnosti vyplývající z tohoto zákona, zejména § 8a,</w:t>
      </w:r>
    </w:p>
    <w:p>
      <w:pPr>
        <w:ind w:left="560" w:right="0" w:hanging="560"/>
        <w:tabs>
          <w:tab w:val="right" w:leader="none" w:pos="500"/>
          <w:tab w:val="left" w:leader="none" w:pos="560"/>
        </w:tabs>
      </w:pPr>
      <w:r>
        <w:rPr/>
        <w:t xml:space="preserve">	</w:t>
      </w:r>
      <w:r>
        <w:rPr>
          <w:b/>
          <w:bCs/>
        </w:rPr>
        <w:t xml:space="preserve">w)</w:t>
      </w:r>
      <w:r>
        <w:rPr/>
        <w:t xml:space="preserve">	</w:t>
      </w:r>
      <w:r>
        <w:rPr/>
        <w:t xml:space="preserve">dovozcem fyzická nebo právnická osoba usazená ve Společenství, která v rámci své obchodní činnosti uvádí na trh Společenství výrobek ze třetí země.</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součástí územně plánovací dokumentace s výjimkou technických řešení navrhujících umístění staveb a zařízení.</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STÁTNÍ PROGRAM NA PODPORU ÚSPOR ENERGIE A VYUŽITÍ OBNOVITELNÝCH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zdrojů energie (dále jen „Program“) je nástroj na podporu opatření ke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středním a velmi malým podnikům vyrábějícím energetické spotřebiče k zavádění nových postupů vedoucích ke splnění požadavků na ekodesign.</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U provozovaných kotlů spalujících kapalná, plynná nebo pevná paliva se jmenovitým výkonem do 200 kW je jejich vlastník nebo provozovatel povinen zajistit pravidelnou kontrolu účinnosti. Četnost, rozsah a způsob provedení kontroly stanoví prováděcí právní předpis.</w:t>
      </w:r>
    </w:p>
    <w:p>
      <w:pPr>
        <w:ind w:left="0" w:right="0"/>
      </w:pPr>
      <w:r>
        <w:rPr>
          <w:b/>
          <w:bCs/>
        </w:rPr>
        <w:t xml:space="preserve">(3)</w:t>
      </w:r>
      <w:r>
        <w:rPr/>
        <w:t xml:space="preserve"> U zařízení sloužícího pro ústřední vytápění se jmenovitým výkonem nad 20 kW a staršího 15 let od data uvedení do provozu je vlastník nebo provozovatel povinen zajistit jednorázovou kontrolu kotlů a vnitřních rozvodů tepelné energie do 3 let po nabytí účinnosti tohoto zákona. Součástí této kontroly je posouzení účinnosti kotle a jeho dimenzování v poměru k požadavkům výlučně na vytápění budovy podle prováděcího právního předpisu.</w:t>
      </w:r>
    </w:p>
    <w:p>
      <w:pPr>
        <w:ind w:left="0" w:right="0"/>
      </w:pPr>
      <w:r>
        <w:rPr>
          <w:b/>
          <w:bCs/>
        </w:rPr>
        <w:t xml:space="preserve">(4)</w:t>
      </w:r>
      <w:r>
        <w:rPr/>
        <w:t xml:space="preserve"> U provozovaných kotlů spalujících kapalná, plynná nebo pevná paliva se jmenovitým výkonem nad 200 kW je jejich vlastník, stavebník nebo provozovatel povinen zajistit pravidelnou kontrolu jejich účinnosti podle prováděcího právního předpisu</w:t>
      </w:r>
      <w:r>
        <w:rPr>
          <w:vertAlign w:val="superscript"/>
        </w:rPr>
        <w:t xml:space="preserve">4b</w:t>
      </w:r>
      <w:r>
        <w:rPr/>
        <w:t xml:space="preserve">).</w:t>
      </w:r>
    </w:p>
    <w:p>
      <w:pPr>
        <w:ind w:left="0" w:right="0"/>
      </w:pPr>
      <w:r>
        <w:rPr>
          <w:b/>
          <w:bCs/>
        </w:rPr>
        <w:t xml:space="preserve">(5)</w:t>
      </w:r>
      <w:r>
        <w:rPr/>
        <w:t xml:space="preserve"> Kontrolu kotlů a vnitřních rozvodů tepelné energie podle odstavců 2 a 3 a kontrolu kotlů o výkonu nad 200 kW sloužících pro vytápění, umístěných ve vytápěném objektu, mohou provádět pouze osoby podle § 10 nebo osoby autorizované podle zvláštního právního předpisu</w:t>
      </w:r>
      <w:r>
        <w:rPr>
          <w:vertAlign w:val="superscript"/>
        </w:rPr>
        <w:t xml:space="preserve">4d</w:t>
      </w:r>
      <w:r>
        <w:rPr/>
        <w:t xml:space="preserve">) přezkoušené ministerstvem. Rozsah přezkoušení těchto osob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(7)</w:t>
      </w:r>
      <w:r>
        <w:rPr/>
        <w:t xml:space="preserve"> U klimatizačních systémů je vlastník nebo provozovatel zařízení se jmenovitým chladicím výkonem vyšším než 12 kW povinen zajistit pravidelnou kontrolu každé 4 roky. Způsob provedení kontroly a vyhodnocení výsledků stanoví prováděcí právní předpis.</w:t>
      </w:r>
    </w:p>
    <w:p>
      <w:pPr>
        <w:ind w:left="0" w:right="0"/>
      </w:pPr>
      <w:r>
        <w:rPr>
          <w:b/>
          <w:bCs/>
        </w:rPr>
        <w:t xml:space="preserve">(8)</w:t>
      </w:r>
      <w:r>
        <w:rPr/>
        <w:t xml:space="preserve"> Kontrolu klimatizačních systémů mohou provádět pouze osoby podle § 10 nebo osoby autorizované podle zvláštního právního předpisu</w:t>
      </w:r>
      <w:r>
        <w:rPr>
          <w:vertAlign w:val="superscript"/>
        </w:rPr>
        <w:t xml:space="preserve">4d</w:t>
      </w:r>
      <w:r>
        <w:rPr/>
        <w:t xml:space="preserve">) přezkoušené ministerstvem z problematiky užití účinnosti energie a návrhů opatření. Rozsah přezkoušení stanoví prováděcí právní předpis.</w:t>
      </w:r>
    </w:p>
    <w:p>
      <w:pPr>
        <w:ind w:left="0" w:right="0"/>
      </w:pPr>
      <w:r>
        <w:rPr>
          <w:b/>
          <w:bCs/>
        </w:rPr>
        <w:t xml:space="preserve">(9)</w:t>
      </w:r>
      <w:r>
        <w:rPr/>
        <w:t xml:space="preserve"> Vlastník nebo provozovatel zařízení na distribuci tepelné energie</w:t>
      </w:r>
      <w:r>
        <w:rPr>
          <w:vertAlign w:val="superscript"/>
        </w:rPr>
        <w:t xml:space="preserve">2</w:t>
      </w:r>
      <w:r>
        <w:rPr/>
        <w:t xml:space="preserve">) a vlastník vnitřního rozvodu tepelné energie a chladu je povinen u nově zřizovaných zařízení na distribuci tepelné energie a vnitřní distribuci tepelné energie zajistit účinnost užití energie a vybavení rozvodů a vnitřních rozvodů tepelné energie a chladu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(2)</w:t>
      </w:r>
      <w:r>
        <w:rPr/>
        <w:t xml:space="preserve"> Splnění požadavků podle odstavce 1 dokládá stavebník, vlastník budovy nebo společenství vlastníků jednotek průkazem energetické náročnosti budovy (dále jen „průkaz“), který musí být přiložen při prokazování dodržení obecných technických požadavků na výstavbu</w:t>
      </w:r>
      <w:r>
        <w:rPr>
          <w:vertAlign w:val="superscript"/>
        </w:rPr>
        <w:t xml:space="preserve">5a</w:t>
      </w:r>
      <w:r>
        <w:rPr/>
        <w:t xml:space="preserve">). Průkaz nesmí být starší 10 let a je součástí dokumentace podle prováděcího právního předpisu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výstavbě nových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větších změnách dokončených budov s celkovou podlahovou plochou nad 1000 m</w:t>
      </w:r>
      <w:r>
        <w:rPr>
          <w:vertAlign w:val="superscript"/>
        </w:rPr>
        <w:t xml:space="preserve">2</w:t>
      </w:r>
      <w:r>
        <w:rPr/>
        <w:t xml:space="preserve">, které ovlivňují jejich energetickou náročnost,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prodeji nebo nájmu budov nebo jejich částí v případech, kdy pro tyto budovy nastala povinnost zpracovat průkaz podle písmene a) nebo b).</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jsou povinni před uvedením na trh vybavit tyto spotřebiče energetickými štítky (dále jen „štítky“). Údaje na štítku musí být pravdivé a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Prodejci energetických spotřebičů uvedených v prováděcím právním předpisu</w:t>
      </w:r>
      <w:r>
        <w:rPr>
          <w:vertAlign w:val="superscript"/>
        </w:rPr>
        <w:t xml:space="preserve">6c</w:t>
      </w:r>
      <w:r>
        <w:rPr/>
        <w:t xml:space="preserve">) nesmí tyto spotřebiče nabízet k prodeji bez energetických štítků. Údaje na štítku musí být pravdivé a v českém jazyce.</w:t>
      </w:r>
    </w:p>
    <w:p>
      <w:pPr>
        <w:ind w:left="0" w:right="0"/>
      </w:pPr>
      <w:r>
        <w:rPr>
          <w:b/>
          <w:bCs/>
        </w:rPr>
        <w:t xml:space="preserve">(5)</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(6)</w:t>
      </w:r>
      <w:r>
        <w:rPr/>
        <w:t xml:space="preserve"> Štítek musí být na spotřebiči umístěn na viditelném místě.</w:t>
      </w:r>
    </w:p>
    <w:p>
      <w:pPr>
        <w:ind w:left="0" w:right="0"/>
      </w:pPr>
      <w:r>
        <w:rPr>
          <w:b/>
          <w:bCs/>
        </w:rPr>
        <w:t xml:space="preserve">(7)</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(8)</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7 před uzavřením kupní smlouvy.</w:t>
      </w:r>
    </w:p>
    <w:p>
      <w:pPr>
        <w:ind w:left="0" w:right="0"/>
      </w:pPr>
      <w:r>
        <w:rPr>
          <w:b/>
          <w:bCs/>
        </w:rPr>
        <w:t xml:space="preserve">(9)</w:t>
      </w:r>
      <w:r>
        <w:rPr/>
        <w:t xml:space="preserve"> Výrobce a dovozce musí uchovat technickou dokumentaci ke spotřebiči po dobu 5 let po ukončení výroby jednotlivého typu.</w:t>
      </w:r>
    </w:p>
    <w:p>
      <w:pPr>
        <w:ind w:left="0" w:right="0"/>
      </w:pPr>
      <w:r>
        <w:rPr>
          <w:b/>
          <w:bCs/>
        </w:rPr>
        <w:t xml:space="preserve">(10)</w:t>
      </w:r>
      <w:r>
        <w:rPr/>
        <w:t xml:space="preserve"> Podrobnosti označování energetických spotřebičů štítky a zpracování technické dokumentace stanoví vyhláška.</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Výrobce, nebo jeho zplnomocněný zástupce, nebo dovozce energetických spotřebičů stanovených prováděcím právním předpisem je povinen před uvedením na trh nebo do provozu opatřit tyto energetické spotřebiče označením CE</w:t>
      </w:r>
      <w:r>
        <w:rPr>
          <w:vertAlign w:val="superscript"/>
        </w:rPr>
        <w:t xml:space="preserve">6d</w:t>
      </w:r>
      <w:r>
        <w:rPr/>
        <w:t xml:space="preserve">) a vydat prohlášení o shodě s požadavky na ekodesign, které deklaruje splnění požadavků na ekodesign stanovených prováděcím právním předpisem.</w:t>
      </w:r>
    </w:p>
    <w:p>
      <w:pPr>
        <w:ind w:left="0" w:right="0"/>
      </w:pPr>
      <w:r>
        <w:rPr>
          <w:b/>
          <w:bCs/>
        </w:rPr>
        <w:t xml:space="preserve">(2)</w:t>
      </w:r>
      <w:r>
        <w:rPr/>
        <w:t xml:space="preserve"> Výrobcem podle odstavce 1 se rozumí fyzická nebo právnická osoba vyrábějící energetický spotřebič a uvádějící jej na trh nebo do provozu, a to pod vlastním jménem nebo obchodním označením. Za výrobce se považuje i fyzická nebo právnická osoba, která uvádí na trh nebo do provozu energetické spotřebiče, neexistuje-li výrobce podle předchozí věty nebo dovozce.</w:t>
      </w:r>
    </w:p>
    <w:p>
      <w:pPr>
        <w:ind w:left="0" w:right="0"/>
      </w:pPr>
      <w:r>
        <w:rPr>
          <w:b/>
          <w:bCs/>
        </w:rPr>
        <w:t xml:space="preserve">(3)</w:t>
      </w:r>
      <w:r>
        <w:rPr/>
        <w:t xml:space="preserve"> Obsah a podrobnosti zpracování prohlášení o shodě s požadavky na ekodesign stanoví prováděcí právní předpis.</w:t>
      </w:r>
    </w:p>
    <w:p>
      <w:pPr>
        <w:ind w:left="0" w:right="0"/>
      </w:pPr>
      <w:r>
        <w:rPr>
          <w:b/>
          <w:bCs/>
        </w:rPr>
        <w:t xml:space="preserve">(4)</w:t>
      </w:r>
      <w:r>
        <w:rPr/>
        <w:t xml:space="preserve"> Energetické spotřebiče stanovené podle odstavce 1 nesmí být opatřeny jiným označením, které by svým významem nebo podobou mohlo vést k záměně s označením CE. Označení CE musí splňovat požadavky uvedené ve zvláštních právních předpisech</w:t>
      </w:r>
      <w:r>
        <w:rPr>
          <w:vertAlign w:val="superscript"/>
        </w:rPr>
        <w:t xml:space="preserve">6e</w:t>
      </w:r>
      <w:r>
        <w:rPr/>
        <w:t xml:space="preserve">) upravujících grafickou podobu označení CE.</w:t>
      </w:r>
    </w:p>
    <w:p>
      <w:pPr>
        <w:ind w:left="0" w:right="0"/>
      </w:pPr>
      <w:r>
        <w:rPr>
          <w:b/>
          <w:bCs/>
        </w:rPr>
        <w:t xml:space="preserve">(5)</w:t>
      </w:r>
      <w:r>
        <w:rPr/>
        <w:t xml:space="preserve"> Požadavky na ekodesign se nevztahují na energetické spotřebiče vystavené na veletrzích, výstavách nebo předváděcích akcích, pokud jsou opatřeny oznámením, že nesmějí být uváděny na trh nebo do provozu na území Společenství, dokud nesplní požadavky stanovené tímto zákonem a prováděcími právními předpisy.</w:t>
      </w:r>
    </w:p>
    <w:p>
      <w:pPr>
        <w:ind w:left="0" w:right="0"/>
      </w:pPr>
      <w:r>
        <w:rPr>
          <w:b/>
          <w:bCs/>
        </w:rPr>
        <w:t xml:space="preserve">(6)</w:t>
      </w:r>
      <w:r>
        <w:rPr/>
        <w:t xml:space="preserve"> Osoby, na něž se vztahuje povinnost podle odstavce 1, musí uchovávat prohlášení o shodě a dokumenty týkající se provedeného posouzení shody po dobu 10 let od vyrobení posledního kusu daného energetického spotřebiče a jsou povinny je na požádání poskytnout do 10 dnů příslušnému kontrolnímu orgánu.</w:t>
      </w:r>
    </w:p>
    <w:p>
      <w:pPr>
        <w:ind w:left="0" w:right="0"/>
      </w:pPr>
      <w:r>
        <w:rPr>
          <w:b/>
          <w:bCs/>
        </w:rPr>
        <w:t xml:space="preserve">(7)</w:t>
      </w:r>
      <w:r>
        <w:rPr/>
        <w:t xml:space="preserve"> Dokumentace podle odstavce 3 musí být poskytnuta konečným uživatelům výrobku v českém jazyce. To neplatí, lze-li tyto informace vyjádřit pomocí harmonizovaných symbolů nebo uznávaných kódů.</w:t>
      </w:r>
    </w:p>
    <w:p>
      <w:pPr>
        <w:ind w:left="0" w:right="0"/>
      </w:pPr>
      <w:r>
        <w:rPr>
          <w:b/>
          <w:bCs/>
        </w:rPr>
        <w:t xml:space="preserve">(8)</w:t>
      </w:r>
      <w:r>
        <w:rPr/>
        <w:t xml:space="preserve"> Prováděcí právní předpisy mohou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na ekodesign,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materiálovém složení a spotřebě energetických spotřebičů, materiálech nebo zdrojích,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instalaci energetického spotřebiče,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technické normy nebo postupy, které se mají použít,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posouzení shody,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informace, které mají poskytnout výrobci, zejména informace o prvcích technické dokumentace, které jsou třeba pro usnadnění kontrol shody energetického spotřebiče, dále nezbytné informace o tom, jak mohou spotřebitelé přispět k udržitelnému užívání výrobku, informace o ekologickém profilu výrobku a výhodách ekodesignu, informace o materiálovém složení a spotřebě energie, materiálů nebo zdrojů konstrukčních části a podsestav.</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6f</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nebo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 k výkonu činnosti energetického auditora podle právních předpisů jiného členského státu Evropské unie.</w:t>
      </w:r>
    </w:p>
    <w:p>
      <w:pPr>
        <w:ind w:left="0" w:right="0"/>
      </w:pPr>
      <w:r>
        <w:rPr>
          <w:b/>
          <w:bCs/>
        </w:rPr>
        <w:t xml:space="preserve">(11)</w:t>
      </w:r>
      <w:r>
        <w:rPr/>
        <w:t xml:space="preserve"> Provedení auditu osobou podle odstavce 10 je povinen zadavatel energetického auditu oznámit ministerstvu, které je uznávacím orgánem podle zvláštního právního předpisu</w:t>
      </w:r>
      <w:r>
        <w:rPr>
          <w:vertAlign w:val="superscript"/>
        </w:rPr>
        <w:t xml:space="preserve">6g</w:t>
      </w:r>
      <w:r>
        <w:rPr/>
        <w:t xml:space="preserve">).</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6g</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v oblasti technických věd a technologií a 3 roky praxe v oboru nebo ukončené středoškolské vzdělání s maturitní zkouškou a 5 let praxe v oboru nebo ukončené středoškolské vzdělání a odpovídající dílčí kvalifikace podle zákona č. </w:t>
      </w:r>
      <w:hyperlink r:id="rId7" w:history="1">
        <w:r>
          <w:rPr>
            <w:color w:val="darkblue"/>
            <w:u w:val="single"/>
          </w:rPr>
          <w:t xml:space="preserve">179/2006 Sb.</w:t>
        </w:r>
      </w:hyperlink>
      <w:r>
        <w:rPr/>
        <w:t xml:space="preserve"> a 5 let praxe, nebo vysokoškolské vzdělání v bakalářském studijním programu v oblasti technických věd a technologií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6f</w:t>
      </w:r>
      <w:r>
        <w:rPr/>
        <w:t xml:space="preserve">).</w:t>
      </w:r>
    </w:p>
    <w:p>
      <w:pPr>
        <w:ind w:left="0" w:right="0"/>
      </w:pPr>
      <w:r>
        <w:rPr>
          <w:b/>
          <w:bCs/>
        </w:rPr>
        <w:t xml:space="preserve">(7)</w:t>
      </w:r>
      <w:r>
        <w:rPr/>
        <w:t xml:space="preserve"> K žádosti o zápis do seznamu energetických auditorů podle odstavce 6 se připojí doklad o složení odborné zkoušky.</w:t>
      </w:r>
    </w:p>
    <w:p>
      <w:pPr>
        <w:ind w:left="0" w:right="0"/>
      </w:pPr>
      <w:r>
        <w:rPr>
          <w:b/>
          <w:bCs/>
        </w:rPr>
        <w:t xml:space="preserve">(8)</w:t>
      </w:r>
      <w:r>
        <w:rPr/>
        <w:t xml:space="preserve"> Ministerstvo si za účelem prokázání bezúhonnosti uchazeče vyžádá podle zvláštního právního předpisu</w:t>
      </w:r>
      <w:r>
        <w:rPr>
          <w:vertAlign w:val="superscript"/>
        </w:rPr>
        <w:t xml:space="preserve">6h</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(9)</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w:t>
      </w:r>
    </w:p>
    <w:p>
      <w:pPr>
        <w:ind w:left="0" w:right="0"/>
      </w:pPr>
      <w:r>
        <w:rPr>
          <w:b/>
          <w:bCs/>
        </w:rPr>
        <w:t xml:space="preserve">(10)</w:t>
      </w:r>
      <w:r>
        <w:rPr/>
        <w:t xml:space="preserve"> Ministerstvo nepřipustí ke zkoušce nebo nezapíše do seznamu energetických auditorů 6 let od podání žádosti uchazeče, který v žádostech uvedl nepravdivé informace, zejména prokazující jeho odbornou způsobilost. V opakovaném případě má odmítnutí trvalou platnost.</w:t>
      </w:r>
    </w:p>
    <w:p>
      <w:pPr>
        <w:ind w:left="0" w:right="0"/>
      </w:pPr>
      <w:r>
        <w:rPr>
          <w:b/>
          <w:bCs/>
        </w:rPr>
        <w:t xml:space="preserve">(11)</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(12)</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(13)</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(14)</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(15)</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(16)</w:t>
      </w:r>
      <w:r>
        <w:rPr/>
        <w:t xml:space="preserve"> Seznam energetických auditů a ostatních činností, který předkládá energetický auditor podle odstavce 15,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(17)</w:t>
      </w:r>
      <w:r>
        <w:rPr/>
        <w:t xml:space="preserve"> Dokumenty podle odstavce 14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393/2007 Sb.</w:t>
        </w:r>
      </w:hyperlink>
      <w:r>
        <w:rPr/>
        <w:t xml:space="preserve"> (účinnost: 1. ledna 2008)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přestupek podle odstavce 1 písm. h), j), k) a n) lze uložit pokutu do 50 000 Kč, za přestupek podle odstavce 1 písm. g), i), l) a m) pokutu do 100 000 Kč a za přestupek podle odstavce 1 písm. a), b), c), d) a e) pokutu do 200 000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393/2007 Sb.</w:t>
        </w:r>
      </w:hyperlink>
      <w:r>
        <w:rPr/>
        <w:t xml:space="preserve"> (účinnost: 1. ledna 2008)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výrobce nebo jeho zplnomocněný zástupce nebo jako dovozce energetických spotřebičů neopatří tyto spotřebiče označením CE nebo nevydá prohlášení o shodě podle § 8a odst. 1, či tyto spotřebiče opatří jiným označením, které by svým významem nebo podobou mohlo vést k záměně s označením CE podle § 8a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jako výrobce nebo jeho zplnomocněný zástupce nebo jako dovozce energetických spotřebičů neuchová prohlášení o shodě a dokumenty týkající se provedeného posouzení shody po stanovenou dobu, či je ve stanoveném termínu neposkytne příslušnému kontrolnímu orgánu podle § 8a odst. 6.</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tuzemský výrobce nebo dovozce hromadně vyráběných energetických spotřebičů v rozporu s § 8 odst. 1 nevybaví tyto spotřebiče štítky vyhovujícími požadavkům podle § 8 odst. 3, 6 nebo nezpracuje technickou dokumentaci podle § 8 odst. 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prodejce energetických spotřebičů uvedených v prováděcím právním předpisu</w:t>
      </w:r>
      <w:r>
        <w:rPr>
          <w:vertAlign w:val="superscript"/>
        </w:rPr>
        <w:t xml:space="preserve">6c</w:t>
      </w:r>
      <w:r>
        <w:rPr/>
        <w:t xml:space="preserve">) v rozporu s § 8 odst. 4 nabídne energetický spotřebič bez energetického štítku,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tuzemský výrobce, dovozce nebo distributor hromadně vyráběných energetických spotřebičů použije v rozporu s § 8 odst. 5 značky, symboly nebo popisy, které by mohly uvést zákazníka v omyl,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8 odst. 8 jako prodejce energetických spotřebičů nabízející tyto spotřebiče v rámci zásilkového obchodu, v katalozích nebo jinou cestou, nezajistí, aby se zájemce mohl seznámit s technickou dokumentací ještě před uzavřením kupní smlouvy.</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14.</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50 000 Kč, jde-li o správní delikt podle odstavce 1 písm. h), j), k) a n) a odstavce 3 písm. b)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správní delikt podle odstavce 1 písm. g), i), l) a m), odstavce 3 písm. a) a c), odstavce 4 písm. b), c), d), e), a g) a odstavce 5 písm. a),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200 000 Kč, jde-li o správní delikt podle odstavce 1 písm. a), b), c), d) a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1 000 000 Kč, jde-li o správní delikt podle odstavce 1 písm. o) a p), odstavce 2 písm. a), d), e), h), i) a j) a odstavce 4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5 000 000 Kč, jde-li o správní delikt podle odstavce 2 písm. b), c) a g).</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podle odstavce 3 a závazné stanovisko podle odstavce 2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2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č. </w:t>
      </w:r>
      <w:hyperlink r:id="rId9" w:history="1">
        <w:r>
          <w:rPr>
            <w:color w:val="darkblue"/>
            <w:u w:val="single"/>
          </w:rPr>
          <w:t xml:space="preserve">93/76/EHS</w:t>
        </w:r>
      </w:hyperlink>
      <w:r>
        <w:rPr>
          <w:sz w:val="19.200000000000003"/>
          <w:szCs w:val="19.200000000000003"/>
        </w:rPr>
        <w:t xml:space="preserve"> ze dne 13. září 1993 o omezování emisí oxidu uhličitého prostřednictvím zvyšování energetické účinnosti.</w:t>
      </w:r>
    </w:p>
    <w:p>
      <w:pPr>
        <w:ind w:left="560" w:right="0"/>
      </w:pPr>
      <w:r>
        <w:rPr>
          <w:sz w:val="19.200000000000003"/>
          <w:szCs w:val="19.200000000000003"/>
        </w:rPr>
        <w:t xml:space="preserve">Směrnice Evropského parlamentu a rady </w:t>
      </w:r>
      <w:hyperlink r:id="rId10"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pPr>
      <w:r>
        <w:rPr>
          <w:sz w:val="19.200000000000003"/>
          <w:szCs w:val="19.200000000000003"/>
        </w:rPr>
        <w:t xml:space="preserve">Směrnice Evropského parlamentu a rady </w:t>
      </w:r>
      <w:hyperlink r:id="rId11" w:history="1">
        <w:r>
          <w:rPr>
            <w:color w:val="darkblue"/>
            <w:u w:val="single"/>
          </w:rPr>
          <w:t xml:space="preserve">2005/32/ES</w:t>
        </w:r>
      </w:hyperlink>
      <w:r>
        <w:rPr>
          <w:sz w:val="19.200000000000003"/>
          <w:szCs w:val="19.200000000000003"/>
        </w:rPr>
        <w:t xml:space="preserve"> ze dne 6. července 2005 o stanovení rámce pro určení požadavku na ekodesign energetických spotřebičů a o změně směrnic rady </w:t>
      </w:r>
      <w:hyperlink r:id="rId12" w:history="1">
        <w:r>
          <w:rPr>
            <w:color w:val="darkblue"/>
            <w:u w:val="single"/>
          </w:rPr>
          <w:t xml:space="preserve">92/42/EHS</w:t>
        </w:r>
      </w:hyperlink>
      <w:r>
        <w:rPr>
          <w:sz w:val="19.200000000000003"/>
          <w:szCs w:val="19.200000000000003"/>
        </w:rPr>
        <w:t xml:space="preserve"> a Evropského parlamentu a rady </w:t>
      </w:r>
      <w:hyperlink r:id="rId13" w:history="1">
        <w:r>
          <w:rPr>
            <w:color w:val="darkblue"/>
            <w:u w:val="single"/>
          </w:rPr>
          <w:t xml:space="preserve">96/57/ES</w:t>
        </w:r>
      </w:hyperlink>
      <w:r>
        <w:rPr>
          <w:sz w:val="19.200000000000003"/>
          <w:szCs w:val="19.200000000000003"/>
        </w:rPr>
        <w:t xml:space="preserve"> a </w:t>
      </w:r>
      <w:hyperlink r:id="rId14" w:history="1">
        <w:r>
          <w:rPr>
            <w:color w:val="darkblue"/>
            <w:u w:val="single"/>
          </w:rPr>
          <w:t xml:space="preserve">200/55/ES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7"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8"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Vyhláška č. </w:t>
      </w:r>
      <w:hyperlink r:id="rId2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21"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Vyhláška č. </w:t>
      </w:r>
      <w:hyperlink r:id="rId23"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21"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2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5"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6"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7"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28"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29"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30"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1"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Zákon č. </w:t>
      </w:r>
      <w:hyperlink r:id="rId32"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3"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6"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9"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4"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sectPr>
      <w:headerReference w:type="default" r:id="rId35"/>
      <w:footerReference w:type="default" r:id="rId3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177/2006 Sb. z </w:t>
          </w:r>
          <w:r>
            <w:rPr>
              <w:rStyle w:val="bold"/>
            </w:rPr>
            <w:t xml:space="preserve">1. 1. 2009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6s179" TargetMode="External"/><Relationship Id="rId8" Type="http://schemas.openxmlformats.org/officeDocument/2006/relationships/hyperlink" Target="https://esipa.cz/sbirka/sbsrv.dll/sb?DR=SB&amp;CP=2007s393" TargetMode="External"/><Relationship Id="rId9" Type="http://schemas.openxmlformats.org/officeDocument/2006/relationships/hyperlink" Target="https://esipa.cz/sbirka/sbsrv.dll/sb?DR=SB&amp;CP=31993L0076" TargetMode="External"/><Relationship Id="rId10" Type="http://schemas.openxmlformats.org/officeDocument/2006/relationships/hyperlink" Target="https://esipa.cz/sbirka/sbsrv.dll/sb?DR=SB&amp;CP=32002L0091" TargetMode="External"/><Relationship Id="rId11" Type="http://schemas.openxmlformats.org/officeDocument/2006/relationships/hyperlink" Target="https://esipa.cz/sbirka/sbsrv.dll/sb?DR=SB&amp;CP=32005L0032" TargetMode="External"/><Relationship Id="rId12" Type="http://schemas.openxmlformats.org/officeDocument/2006/relationships/hyperlink" Target="https://esipa.cz/sbirka/sbsrv.dll/sb?DR=SB&amp;CP=31992L0042" TargetMode="External"/><Relationship Id="rId13" Type="http://schemas.openxmlformats.org/officeDocument/2006/relationships/hyperlink" Target="https://esipa.cz/sbirka/sbsrv.dll/sb?DR=SB&amp;CP=31996L0057" TargetMode="External"/><Relationship Id="rId14" Type="http://schemas.openxmlformats.org/officeDocument/2006/relationships/hyperlink" Target="https://esipa.cz/sbirka/sbsrv.dll/sb?DR=SB&amp;CP=32000L0055" TargetMode="External"/><Relationship Id="rId15" Type="http://schemas.openxmlformats.org/officeDocument/2006/relationships/hyperlink" Target="https://esipa.cz/sbirka/sbsrv.dll/sb?DR=SB&amp;CP=2001s185" TargetMode="External"/><Relationship Id="rId16" Type="http://schemas.openxmlformats.org/officeDocument/2006/relationships/hyperlink" Target="https://esipa.cz/sbirka/sbsrv.dll/sb?DR=SB&amp;CP=2000s458" TargetMode="External"/><Relationship Id="rId17" Type="http://schemas.openxmlformats.org/officeDocument/2006/relationships/hyperlink" Target="https://esipa.cz/sbirka/sbsrv.dll/sb?DR=SB&amp;CP=2001s195" TargetMode="External"/><Relationship Id="rId18" Type="http://schemas.openxmlformats.org/officeDocument/2006/relationships/hyperlink" Target="https://esipa.cz/sbirka/sbsrv.dll/sb?DR=SB&amp;CP=1992s017" TargetMode="External"/><Relationship Id="rId19" Type="http://schemas.openxmlformats.org/officeDocument/2006/relationships/hyperlink" Target="https://esipa.cz/sbirka/sbsrv.dll/sb?DR=SB&amp;CP=1976s050" TargetMode="External"/><Relationship Id="rId20" Type="http://schemas.openxmlformats.org/officeDocument/2006/relationships/hyperlink" Target="https://esipa.cz/sbirka/sbsrv.dll/sb?DR=SB&amp;CP=2001s150" TargetMode="External"/><Relationship Id="rId21" Type="http://schemas.openxmlformats.org/officeDocument/2006/relationships/hyperlink" Target="https://esipa.cz/sbirka/sbsrv.dll/sb?DR=SB&amp;CP=1992s360" TargetMode="External"/><Relationship Id="rId22" Type="http://schemas.openxmlformats.org/officeDocument/2006/relationships/hyperlink" Target="https://esipa.cz/sbirka/sbsrv.dll/sb?DR=SB&amp;CP=1994s072" TargetMode="External"/><Relationship Id="rId23" Type="http://schemas.openxmlformats.org/officeDocument/2006/relationships/hyperlink" Target="https://esipa.cz/sbirka/sbsrv.dll/sb?DR=SB&amp;CP=1998s137" TargetMode="External"/><Relationship Id="rId24" Type="http://schemas.openxmlformats.org/officeDocument/2006/relationships/hyperlink" Target="https://esipa.cz/sbirka/sbsrv.dll/sb?DR=SB&amp;CP=1987s020" TargetMode="External"/><Relationship Id="rId25" Type="http://schemas.openxmlformats.org/officeDocument/2006/relationships/hyperlink" Target="https://esipa.cz/sbirka/sbsrv.dll/sb?DR=SB&amp;CP=2001s291" TargetMode="External"/><Relationship Id="rId26" Type="http://schemas.openxmlformats.org/officeDocument/2006/relationships/hyperlink" Target="https://esipa.cz/sbirka/sbsrv.dll/sb?DR=SB&amp;CP=2001s152" TargetMode="External"/><Relationship Id="rId27" Type="http://schemas.openxmlformats.org/officeDocument/2006/relationships/hyperlink" Target="https://esipa.cz/sbirka/sbsrv.dll/sb?DR=SB&amp;CP=2004s442" TargetMode="External"/><Relationship Id="rId28" Type="http://schemas.openxmlformats.org/officeDocument/2006/relationships/hyperlink" Target="https://esipa.cz/sbirka/sbsrv.dll/sb?DR=SB&amp;CP=1997s022" TargetMode="External"/><Relationship Id="rId29" Type="http://schemas.openxmlformats.org/officeDocument/2006/relationships/hyperlink" Target="https://esipa.cz/sbirka/sbsrv.dll/sb?DR=SB&amp;CP=2000s291" TargetMode="External"/><Relationship Id="rId30" Type="http://schemas.openxmlformats.org/officeDocument/2006/relationships/hyperlink" Target="https://esipa.cz/sbirka/sbsrv.dll/sb?DR=SB&amp;CP=32000R1980" TargetMode="External"/><Relationship Id="rId31" Type="http://schemas.openxmlformats.org/officeDocument/2006/relationships/hyperlink" Target="https://esipa.cz/sbirka/sbsrv.dll/sb?DR=SB&amp;CP=2001s213" TargetMode="External"/><Relationship Id="rId32" Type="http://schemas.openxmlformats.org/officeDocument/2006/relationships/hyperlink" Target="https://esipa.cz/sbirka/sbsrv.dll/sb?DR=SB&amp;CP=2004s018" TargetMode="External"/><Relationship Id="rId33" Type="http://schemas.openxmlformats.org/officeDocument/2006/relationships/hyperlink" Target="https://esipa.cz/sbirka/sbsrv.dll/sb?DR=SB&amp;CP=1994s269" TargetMode="External"/><Relationship Id="rId34" Type="http://schemas.openxmlformats.org/officeDocument/2006/relationships/hyperlink" Target="https://esipa.cz/sbirka/sbsrv.dll/sb?DR=SB&amp;CP=1967s071" TargetMode="External"/><Relationship Id="rId35" Type="http://schemas.openxmlformats.org/officeDocument/2006/relationships/header" Target="header1.xml"/><Relationship Id="rId3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177/2006 Sb. z 1. 1. 2009</dc:title>
  <dc:description>Zákon o hospodaření energií</dc:description>
  <dc:subject/>
  <cp:keywords/>
  <cp:category/>
  <cp:lastModifiedBy/>
  <dcterms:created xsi:type="dcterms:W3CDTF">2009-01-01T00:00:00+01:00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