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stanoví práva a povinnosti fyzických a právnických osob při nakládání s energií, zejména elektrickou a tepelnou, a dále s plynem a dalšími palivy. Přispívá k šetrnému využívání přírodních zdrojů a ochraně životního prostředí v České republice, ke zvyšování hospodárnosti užití energie, konkurenceschopnosti, spolehlivosti při zásobování energií a k trvale udržitelnému rozvoji společnosti.</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 energetickým zdrojem využitelný energetický zdroj, jehož energetický potenciál se obnovuje přírodními procesy,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a při likvidaci odpadů,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přírodním energetickým zdrojem obnovitelný i neobnovitelný zdroj, jehož energetický potenciál je využíván v energetickém hospodářství,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energetickým hospodářstvím soubor technických zařízení sloužících k nakládání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účinností užití energie míra efektivnosti energetických procesů, vyjádřená poměrem mezi úhrnnými energetickými výstupy a vstupy téhož procesu, vyjádřená v procentech.</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20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2 roky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kraj, hlavní město Praha a statutární města v přenesené působnosti. Územní energetická koncepce je závazným podkladem pro územní plánování.</w:t>
      </w:r>
    </w:p>
    <w:p>
      <w:pPr>
        <w:ind w:left="0" w:right="0"/>
      </w:pPr>
      <w:r>
        <w:rPr>
          <w:b/>
          <w:bCs/>
        </w:rPr>
        <w:t xml:space="preserve">(3)</w:t>
      </w:r>
      <w:r>
        <w:rPr/>
        <w:t xml:space="preserve"> Obec má právo pro svůj územní obvod nebo jeho část pořídit územní energetickou koncepci v souladu se státní energetickou koncepcí a pro její uskutečnění může vydat závazný právní předpis.</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zdrojů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ekonomicky využitelných úspor z hospodárnějšího využití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energetického hospodářství území včetně zdůvodnění a posouzení vlivů na životní prostředí.</w:t>
      </w:r>
      <w:r>
        <w:rPr>
          <w:vertAlign w:val="superscript"/>
        </w:rPr>
        <w:t xml:space="preserve">1</w:t>
      </w:r>
      <w:r>
        <w:rPr/>
        <w:t xml:space="preserve">)</w:t>
      </w:r>
    </w:p>
    <w:p>
      <w:pPr>
        <w:ind w:left="0" w:right="0"/>
      </w:pPr>
      <w:r>
        <w:rPr>
          <w:b/>
          <w:bCs/>
        </w:rPr>
        <w:t xml:space="preserve">(6)</w:t>
      </w:r>
      <w:r>
        <w:rPr/>
        <w:t xml:space="preserve"> K účasti na vypracování územní energetické koncepce si kraj může vyžádat součinnost držitelů autorizace na podnikání v energetických odvětvích,</w:t>
      </w:r>
      <w:r>
        <w:rPr>
          <w:vertAlign w:val="superscript"/>
        </w:rPr>
        <w:t xml:space="preserve">2</w:t>
      </w:r>
      <w:r>
        <w:rPr/>
        <w:t xml:space="preserve">)</w:t>
      </w:r>
      <w:r>
        <w:rPr/>
        <w:t xml:space="preserve"> dodavatelů tuhých a kapalných paliv, kteří podnikají na území, pro které se územní energetická koncepce zpracovává, jakož i největších spotřebitelů energie. Ti jsou povinni, pokud jsou k tomu krajem vyzváni, pro vypracování územní energetické koncepce poskytnout v rozsahu a lhůtě stanovené ve výzvě bezúplatně podklady.</w:t>
      </w:r>
    </w:p>
    <w:p>
      <w:pPr>
        <w:ind w:left="0" w:right="0"/>
      </w:pPr>
      <w:r>
        <w:rPr>
          <w:b/>
          <w:bCs/>
        </w:rPr>
        <w:t xml:space="preserve">(7)</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Národní program hospodárného nakládání s energií a využívání jejích obnovitelných a druhotných zdrojů</w:t>
      </w:r>
    </w:p>
    <w:p>
      <w:pPr>
        <w:pStyle w:val="Heading3"/>
      </w:pPr>
      <w:r>
        <w:rPr>
          <w:b/>
          <w:bCs/>
        </w:rPr>
        <w:t xml:space="preserve">§ 5</w:t>
      </w:r>
    </w:p>
    <w:p>
      <w:pPr>
        <w:ind w:left="0" w:right="0"/>
      </w:pPr>
      <w:r>
        <w:rPr>
          <w:b/>
          <w:bCs/>
        </w:rPr>
        <w:t xml:space="preserve">(1)</w:t>
      </w:r>
      <w:r>
        <w:rPr/>
        <w:t xml:space="preserve"> Národní program hospodárného nakládání s energií a využívání jejích obnovitelných a druhotných zdrojů (dále jen „Program“) je dokument vyjadřující cíle týkající se snižování spotřeby energie, využití jejích obnovitelných a druhotných zdrojů v souladu s hospodářskými a společenskými potřebami podle zásady trvale udržitelného rozvoje</w:t>
      </w:r>
      <w:r>
        <w:rPr>
          <w:vertAlign w:val="superscript"/>
        </w:rPr>
        <w:t xml:space="preserve">3</w:t>
      </w:r>
      <w:r>
        <w:rPr/>
        <w:t xml:space="preserve">)</w:t>
      </w:r>
      <w:r>
        <w:rPr/>
        <w:t xml:space="preserve"> a ochrany životního prostředí.</w:t>
      </w:r>
    </w:p>
    <w:p>
      <w:pPr>
        <w:ind w:left="0" w:right="0"/>
      </w:pPr>
      <w:r>
        <w:rPr>
          <w:b/>
          <w:bCs/>
        </w:rPr>
        <w:t xml:space="preserve">(2)</w:t>
      </w:r>
      <w:r>
        <w:rPr/>
        <w:t xml:space="preserve"> Návrh Programu zpracovává na čtyřleté období ministerstvo v dohodě s Ministerstvem životního prostředí a při tom vychází ze schválené státní energetické koncepce a z podkladů, které za tím účelem obdrží od ústředních správních úřadů, a předkládá jej ke schválení vládě.</w:t>
      </w:r>
    </w:p>
    <w:p>
      <w:pPr>
        <w:ind w:left="0" w:right="0"/>
      </w:pPr>
      <w:r>
        <w:rPr>
          <w:b/>
          <w:bCs/>
        </w:rPr>
        <w:t xml:space="preserve">(3)</w:t>
      </w:r>
      <w:r>
        <w:rPr/>
        <w:t xml:space="preserve"> Ministerstvo v dohodě s Ministerstvem životního prostředí vyhodnocuje naplňování Programu nejméně jedenkrát za 2 roky a o výsledcích informuje vládu. V případě potřeby ministerstvo v dohodě s Ministerstvem životního prostředí zpracovává návrhy na změnu Programu a předkládá je ke schválení vládě.</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územních energetických koncepcí.</w:t>
      </w:r>
    </w:p>
    <w:p>
      <w:pPr>
        <w:ind w:left="0" w:right="0"/>
      </w:pPr>
      <w:r>
        <w:rPr>
          <w:b/>
          <w:bCs/>
        </w:rPr>
        <w:t xml:space="preserve">(5)</w:t>
      </w:r>
      <w:r>
        <w:rPr/>
        <w:t xml:space="preserve"> Program je uveřejňován v Obchodním věstníku.</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Ten, kdo vyrábí energii, je povinen u nově zřizovaných zařízení pro výrobu elektřiny nebo tepelné energie zajistit alespoň minimální účinnost užití energie stanovenou vyhláškou.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Ten, kdo rozvádí energii, je povinen u nově zřizovaných zařízení pro přenos a distribuci elektřiny a rozvod tepelné energie a vnitřní rozvod elektřiny a tepelné energie zajistit nepřekročení maximálních ztrát energie stanovených vyhláškou. Tuto povinnost má i v případě změny dokončených staveb v rozsahu podle zvláštního právního předpisu.</w:t>
      </w:r>
      <w:r>
        <w:rPr>
          <w:vertAlign w:val="superscript"/>
        </w:rPr>
        <w:t xml:space="preserve">4</w:t>
      </w:r>
      <w:r>
        <w:rPr/>
        <w:t xml:space="preserve">)</w:t>
      </w:r>
    </w:p>
    <w:p>
      <w:pPr>
        <w:ind w:left="0" w:right="0"/>
      </w:pPr>
      <w:r>
        <w:rPr>
          <w:b/>
          <w:bCs/>
        </w:rPr>
        <w:t xml:space="preserve">(3)</w:t>
      </w:r>
      <w:r>
        <w:rPr/>
        <w:t xml:space="preserve"> Výrobce, dovozce nebo distributor</w:t>
      </w:r>
      <w:r>
        <w:rPr>
          <w:vertAlign w:val="superscript"/>
        </w:rPr>
        <w:t xml:space="preserve">5</w:t>
      </w:r>
      <w:r>
        <w:rPr/>
        <w:t xml:space="preserve">)</w:t>
      </w:r>
      <w:r>
        <w:rPr/>
        <w:t xml:space="preserve"> může uvádět na trh pouze spotřebiče energie s minimální účinností užití energie stanovenou vyhláškou. Tato podmínka se považuje za splněnou, pokud daný spotřebič vyhovuje příslušné harmonizované české technické normě, která stanovuje energetickou účinnost.</w:t>
      </w:r>
    </w:p>
    <w:p>
      <w:pPr>
        <w:ind w:left="0" w:right="0"/>
      </w:pPr>
      <w:r>
        <w:rPr>
          <w:b/>
          <w:bCs/>
        </w:rPr>
        <w:t xml:space="preserve">(4)</w:t>
      </w:r>
      <w:r>
        <w:rPr/>
        <w:t xml:space="preserve"> Vlastník budovy nebo společenství vlastníků jednotek musí v dokumentaci přikládané k žádosti o vydání stavebního povolení v rámci dodržení obecných technických požadavků na výstavbu prokázat splnění požadavků hospodárné spotřeby energie na vytápění, vyjádřené přípustnými hodnotami tepelné charakteristiky budovy, tepelného odporu konstrukce, tepelné stability místností, šíření vzduchu a vlhkosti konstrukcí; dále musí dodržet způsob určení tepelné ztráty vnitřních prostor vytápěné budovy uplatněný při stanovení celkové tepelné charakteristiky budovy. K tomu vlastník budovy, spoluvlastníci budovy nebo společenství vlastníků jednotek pořídí písemný dokument obsahující vyjmenované hodnoty. Tato povinnost se vztahuje i na vlastníky nebo společenství vlastníků jednotek, u nichž se provádí změna dokončené stavby podle zvláštního právního předpisu</w:t>
      </w:r>
      <w:r>
        <w:rPr>
          <w:vertAlign w:val="superscript"/>
        </w:rPr>
        <w:t xml:space="preserve">4</w:t>
      </w:r>
      <w:r>
        <w:rPr/>
        <w:t xml:space="preserve">)</w:t>
      </w:r>
      <w:r>
        <w:rPr/>
        <w:t xml:space="preserve"> ovlivňující plnění výše uvedených požadavků a pokud se na ně vztahuje povinnost energetického auditu podle § 9 tohoto zákona.</w:t>
      </w:r>
    </w:p>
    <w:p>
      <w:pPr>
        <w:ind w:left="0" w:right="0"/>
      </w:pPr>
      <w:r>
        <w:rPr>
          <w:b/>
          <w:bCs/>
        </w:rPr>
        <w:t xml:space="preserve">(5)</w:t>
      </w:r>
      <w:r>
        <w:rPr/>
        <w:t xml:space="preserve"> Požadavky podle odstavce 4 nemusí být splněny při změně dokončené stavby u budovy v případě, že vlastník prokáže energetickým auditem, že to není technicky možné nebo ekonomicky vhodné s ohledem na životnost budovy, její provozní účely nebo pokud to odporuje požadavkům zvláštního právního předpisu.</w:t>
      </w:r>
      <w:r>
        <w:rPr>
          <w:vertAlign w:val="superscript"/>
        </w:rPr>
        <w:t xml:space="preserve">6</w:t>
      </w:r>
      <w:r>
        <w:rPr/>
        <w:t xml:space="preserve">)</w:t>
      </w:r>
    </w:p>
    <w:p>
      <w:pPr>
        <w:ind w:left="0" w:right="0"/>
      </w:pPr>
      <w:r>
        <w:rPr>
          <w:b/>
          <w:bCs/>
        </w:rPr>
        <w:t xml:space="preserve">(6)</w:t>
      </w:r>
      <w:r>
        <w:rPr/>
        <w:t xml:space="preserve"> Vlastník budovy nebo společenství vlastníků jednotek nesmí při užívání nových staveb nebo při užívání staveb dokončených po jejich změně překročit měrné ukazatele spotřeby tepla pro vytápění a pro přípravu teplé užitkové vody stanovené vyhláškou.</w:t>
      </w:r>
    </w:p>
    <w:p>
      <w:pPr>
        <w:ind w:left="0" w:right="0"/>
      </w:pPr>
      <w:r>
        <w:rPr>
          <w:b/>
          <w:bCs/>
        </w:rPr>
        <w:t xml:space="preserve">(7)</w:t>
      </w:r>
      <w:r>
        <w:rPr/>
        <w:t xml:space="preserve"> Vlastník budovy nebo společenství vlastníků jednotek musí vybavit vnitřní tepelná zařízení budov přístroji regulujícími dodávku tepelné energie konečným spotřebitelům v rozsahu stanoveném vyhláškou. Konečný spotřebitel je povinen umožnit instalaci, údržbu a kontrolu těchto zařízení.</w:t>
      </w:r>
    </w:p>
    <w:p>
      <w:pPr>
        <w:ind w:left="0" w:right="0"/>
      </w:pPr>
      <w:r>
        <w:rPr>
          <w:b/>
          <w:bCs/>
        </w:rPr>
        <w:t xml:space="preserve">(8)</w:t>
      </w:r>
      <w:r>
        <w:rPr/>
        <w:t xml:space="preserve"> Vlastník budovy nebo společenství vlastníků jednotek se musí řídit pravidly pro vytápění a dodávku teplé užitkové vody stanovenými vyhláškou,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vyhláškou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vyhláškou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(dále jen „energetické spotřebiče“) jsou povinni před uvedením na trh vybavit tyto spotřebiče energetickými štítky (dále jen „štítky“). Údaje na štítku musí být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(5)</w:t>
      </w:r>
      <w:r>
        <w:rPr/>
        <w:t xml:space="preserve"> Štítek musí být na spotřebiči umístěn na viditelném místě.</w:t>
      </w:r>
    </w:p>
    <w:p>
      <w:pPr>
        <w:ind w:left="0" w:right="0"/>
      </w:pPr>
      <w:r>
        <w:rPr>
          <w:b/>
          <w:bCs/>
        </w:rPr>
        <w:t xml:space="preserve">(6)</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(7)</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6 před uzavřením kupní smlouvy.</w:t>
      </w:r>
    </w:p>
    <w:p>
      <w:pPr>
        <w:ind w:left="0" w:right="0"/>
      </w:pPr>
      <w:r>
        <w:rPr>
          <w:b/>
          <w:bCs/>
        </w:rPr>
        <w:t xml:space="preserve">(8)</w:t>
      </w:r>
      <w:r>
        <w:rPr/>
        <w:t xml:space="preserve"> Výrobce a dovozce musí uchovat technickou dokumentaci ke spotřebiči po dobu 5 let po ukončení výroby jednotlivého typu.</w:t>
      </w:r>
    </w:p>
    <w:p>
      <w:pPr>
        <w:ind w:left="0" w:right="0"/>
      </w:pPr>
      <w:r>
        <w:rPr>
          <w:b/>
          <w:bCs/>
        </w:rPr>
        <w:t xml:space="preserve">(9)</w:t>
      </w:r>
      <w:r>
        <w:rPr/>
        <w:t xml:space="preserve"> Podrobnosti označování energetických spotřebičů štítky a zpracování technické dokumentace stanoví vyhláška.</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je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 Energetický audit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technicky dosažitelných energetických úspor,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závěrečný posudek energetického auditora.</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povinen poskytnout na vyžádání kopii zprávy o energetickém auditu ministerstvu, Státní energetické inspekci, kraji a obci, které jsou místně příslušné podle místa, v němž se nachází posuzované energetické hospodářství a budova.</w:t>
      </w:r>
    </w:p>
    <w:p>
      <w:pPr>
        <w:ind w:left="0" w:right="0"/>
      </w:pPr>
      <w:r>
        <w:rPr>
          <w:b/>
          <w:bCs/>
        </w:rPr>
        <w:t xml:space="preserve">(3)</w:t>
      </w:r>
      <w:r>
        <w:rPr/>
        <w:t xml:space="preserve"> Povinnost podrobit své energetické hospodářství a budovu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a příspěvkové organizace s celkovou roční spotřebou energie vyšší, než je vyhláškou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vyhláškou stanovená její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Zpracování energetického auditu hradí zadavatel auditu.</w:t>
      </w:r>
    </w:p>
    <w:p>
      <w:pPr>
        <w:ind w:left="0" w:right="0"/>
      </w:pPr>
      <w:r>
        <w:rPr>
          <w:b/>
          <w:bCs/>
        </w:rPr>
        <w:t xml:space="preserve">(6)</w:t>
      </w:r>
      <w:r>
        <w:rPr/>
        <w:t xml:space="preserve"> Podrobnosti týkající se náležitostí energetického auditu stanoví vyhláška.</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 nebo jiný trestný čin související s předmětem činnosti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4.</w:t>
      </w:r>
    </w:p>
    <w:p>
      <w:pPr>
        <w:ind w:left="0" w:right="0"/>
      </w:pPr>
      <w:r>
        <w:rPr>
          <w:b/>
          <w:bCs/>
        </w:rPr>
        <w:t xml:space="preserve">(3)</w:t>
      </w:r>
      <w:r>
        <w:rPr/>
        <w:t xml:space="preserve"> Odborná zkouška se koná před zkušební komisí, kterou jmenuje ministerstvo.</w:t>
      </w:r>
    </w:p>
    <w:p>
      <w:pPr>
        <w:ind w:left="0" w:right="0"/>
      </w:pPr>
      <w:r>
        <w:rPr>
          <w:b/>
          <w:bCs/>
        </w:rPr>
        <w:t xml:space="preserve">(4)</w:t>
      </w:r>
      <w:r>
        <w:rPr/>
        <w:t xml:space="preserve"> Odbornou způsobilost k provádění energetických auditů má ten, kdo prokáže ukončené vysokoškolské vzdělání technického nebo příslušného přírodovědného směru a 3 roky praxe v oboru nebo ukončené středoškolské vzdělání technického směru a 6 let praxe v oboru.</w:t>
      </w:r>
    </w:p>
    <w:p>
      <w:pPr>
        <w:ind w:left="0" w:right="0"/>
      </w:pPr>
      <w:r>
        <w:rPr>
          <w:b/>
          <w:bCs/>
        </w:rPr>
        <w:t xml:space="preserve">(5)</w:t>
      </w:r>
      <w:r>
        <w:rPr/>
        <w:t xml:space="preserve"> Uchazeč podává ministerstvu písemnou žádost o zápis do seznamu energetických auditorů, jejíž vzor stanoví vyhláška.</w:t>
      </w:r>
    </w:p>
    <w:p>
      <w:pPr>
        <w:ind w:left="0" w:right="0"/>
      </w:pPr>
      <w:r>
        <w:rPr>
          <w:b/>
          <w:bCs/>
        </w:rPr>
        <w:t xml:space="preserve">(6)</w:t>
      </w:r>
      <w:r>
        <w:rPr/>
        <w:t xml:space="preserve"> K žádosti o zápis do seznamu energetických auditorů podle odstavce 5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odborné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výpis z evidence Rejstříku trestů ne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kopie zpráv o energetických auditech provedených v posledních 2 letech, na jejichž provedení se uchazeč podílel s potvrzením o spoluúčasti od provádějícího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složení odborné zkoušky.</w:t>
      </w:r>
    </w:p>
    <w:p>
      <w:pPr>
        <w:ind w:left="0" w:right="0"/>
      </w:pPr>
      <w:r>
        <w:rPr>
          <w:b/>
          <w:bCs/>
        </w:rPr>
        <w:t xml:space="preserve">(7)</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zadavatele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nebo členem družstva zadavatele,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w:t>
      </w:r>
      <w:r>
        <w:rPr/>
        <w:t xml:space="preserve"> osobám, které mají ve fyzických nebo právnických osobách, kde se provádí energetický audit, postavení, které by mohlo ovlivnit činnost energetického auditora.</w:t>
      </w:r>
    </w:p>
    <w:p>
      <w:pPr>
        <w:ind w:left="0" w:right="0"/>
      </w:pPr>
      <w:r>
        <w:rPr>
          <w:b/>
          <w:bCs/>
        </w:rPr>
        <w:t xml:space="preserve">(8)</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(9)</w:t>
      </w:r>
      <w:r>
        <w:rPr/>
        <w:t xml:space="preserve"> Energetický auditor je povinen zachovat mlčenlivost o všech skutečnostech týkajících se fyzické nebo právnické osoby, o kterých se dozvěděl v souvislosti s prováděním energetického auditu na jejím energetickém hospodářství. Získané skutečnosti nesmí použít ke svému prospěchu nebo k prospěchu nebo újmě třetí osoby. Zprostit energetického auditora mlčenlivosti může pouze fyzická nebo právnická osoba, na jejímž energetickém hospodářství byl proveden energetický audit, nebo stanoví-li tak jiný zákon.</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7 a 8 nebo nedodržuje-li opakovaně povinnosti pro provádění energetického auditu stanoveného tímto zákonem nebo nevykonává-li činnost energetického auditora déle než 5 let nebo pokud energetický auditor zemřel.</w:t>
      </w:r>
    </w:p>
    <w:p>
      <w:pPr>
        <w:ind w:left="0" w:right="0"/>
      </w:pPr>
      <w:r>
        <w:rPr>
          <w:b/>
          <w:bCs/>
        </w:rPr>
        <w:t xml:space="preserve">(2)</w:t>
      </w:r>
      <w:r>
        <w:rPr/>
        <w:t xml:space="preserve"> Činnostmi podle odstavce 1 může ministerstvo pověřit k tomu určenou organizační složku státu.</w:t>
      </w:r>
    </w:p>
    <w:p>
      <w:pPr>
        <w:pStyle w:val="Heading2"/>
      </w:pPr>
      <w:r>
        <w:rPr>
          <w:b/>
          <w:bCs/>
        </w:rPr>
        <w:t xml:space="preserve">Hlava V</w:t>
      </w:r>
      <w:r>
        <w:rPr>
          <w:rStyle w:val="hidden"/>
        </w:rPr>
        <w:t xml:space="preserve"> -</w:t>
      </w:r>
      <w:br/>
      <w:r>
        <w:rPr>
          <w:caps/>
        </w:rPr>
        <w:t xml:space="preserve">Kontrola a ochrana zvláštních zájmů</w:t>
      </w:r>
    </w:p>
    <w:p>
      <w:pPr>
        <w:pStyle w:val="Heading3"/>
      </w:pPr>
      <w:r>
        <w:rPr>
          <w:b/>
          <w:bCs/>
        </w:rPr>
        <w:t xml:space="preserve">§ 12</w:t>
      </w:r>
      <w:r>
        <w:rPr>
          <w:rStyle w:val="hidden"/>
        </w:rPr>
        <w:t xml:space="preserve"> -</w:t>
      </w:r>
      <w:br/>
      <w:r>
        <w:rPr/>
        <w:t xml:space="preserve">Kontrola a sankce</w:t>
      </w:r>
    </w:p>
    <w:p>
      <w:pPr>
        <w:ind w:left="0" w:right="0"/>
      </w:pPr>
      <w:r>
        <w:rPr>
          <w:b/>
          <w:bCs/>
        </w:rPr>
        <w:t xml:space="preserve">(1)</w:t>
      </w:r>
      <w:r>
        <w:rPr/>
        <w:t xml:space="preserve"> Kontrolu dodržování ustanovení tohoto zákona a ukládání pokut za porušení těchto ustanovení upravuje zvláštní zákon.</w:t>
      </w:r>
      <w:r>
        <w:rPr>
          <w:vertAlign w:val="superscript"/>
        </w:rPr>
        <w:t xml:space="preserve">2</w:t>
      </w:r>
      <w:r>
        <w:rPr/>
        <w:t xml:space="preserve">)</w:t>
      </w:r>
    </w:p>
    <w:p>
      <w:pPr>
        <w:ind w:left="0" w:right="0"/>
      </w:pPr>
      <w:r>
        <w:rPr>
          <w:b/>
          <w:bCs/>
        </w:rPr>
        <w:t xml:space="preserve">(2)</w:t>
      </w:r>
      <w:r>
        <w:rPr/>
        <w:t xml:space="preserve"> Pokutu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až do výše 5 000 000 Kč za porušení povinností podle § 4 odst. 6, § 6 odst. 1 až 4, 6 a 8, § 7 odst. 1 a 2, § 8 odst. 1 až 6 a 8, § 9 odst. 3 písm. b) a c) a § 9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až do výše 1 000 000 Kč za porušení povinností podle § 6 odst. 7, § 8 odst. 7, § 9 odst. 1 a § 10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až do výše 100 000 Kč za porušení povinnosti podle § 6 odst. 7 fyzickým osobám, které jsou odběrateli mimo svou podnikatelskou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až do výše 100 000 Kč za porušení povinností podle § 9 odst. 2 a § 10 odst. 7 a 8.</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w:t>
      </w:r>
      <w:r>
        <w:rPr/>
        <w:t xml:space="preserve"> při ochraně zájmů chráněných tímto zákonem v řízeních, která provádějí jiné stavební úřady, než jsou stavební úřady uvedené v odstavci 1.</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 odst. 7 vybavit vnitřní tepelná zařízení budov přístroji regulujícími dodávku tepelné energie musí být splněna do 4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s vymezením zdrojů energie, které budou hodnoceny jako obnovitelné, a k provedení § 6 až 10.</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Českou energetickou agenturou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6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7" w:history="1">
        <w:r>
          <w:rPr>
            <w:color w:val="darkblue"/>
            <w:u w:val="single"/>
          </w:rPr>
          <w:t xml:space="preserve">244/1992 Sb.</w:t>
        </w:r>
      </w:hyperlink>
      <w:r>
        <w:rPr>
          <w:sz w:val="19.200000000000003"/>
          <w:szCs w:val="19.200000000000003"/>
        </w:rPr>
        <w:t xml:space="preserve">, o posuzování vlivů na životní prostředí, ve znění zákona č. </w:t>
      </w:r>
      <w:hyperlink r:id="rId8" w:history="1">
        <w:r>
          <w:rPr>
            <w:color w:val="darkblue"/>
            <w:u w:val="single"/>
          </w:rPr>
          <w:t xml:space="preserve">132/2000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9"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 ve znění zákona č. </w:t>
      </w:r>
      <w:hyperlink r:id="rId10" w:history="1">
        <w:r>
          <w:rPr>
            <w:color w:val="darkblue"/>
            <w:u w:val="single"/>
          </w:rPr>
          <w:t xml:space="preserve">83/1998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1" w:history="1">
        <w:r>
          <w:rPr>
            <w:color w:val="darkblue"/>
            <w:u w:val="single"/>
          </w:rPr>
          <w:t xml:space="preserve">17/1992 Sb.</w:t>
        </w:r>
      </w:hyperlink>
      <w:r>
        <w:rPr>
          <w:sz w:val="19.200000000000003"/>
          <w:szCs w:val="19.200000000000003"/>
        </w:rPr>
        <w:t xml:space="preserv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2"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2 zákona č. </w:t>
      </w:r>
      <w:hyperlink r:id="rId13"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2"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5" w:history="1">
        <w:r>
          <w:rPr>
            <w:color w:val="darkblue"/>
            <w:u w:val="single"/>
          </w:rPr>
          <w:t xml:space="preserve">71/1967 Sb.</w:t>
        </w:r>
      </w:hyperlink>
      <w:r>
        <w:rPr>
          <w:sz w:val="19.200000000000003"/>
          <w:szCs w:val="19.200000000000003"/>
        </w:rPr>
        <w:t xml:space="preserve">, o správním řízení (správní řád), ve znění pozdějších předpisů.</w:t>
      </w:r>
    </w:p>
    <w:sectPr>
      <w:headerReference w:type="default" r:id="rId16"/>
      <w:footerReference w:type="default" r:id="rId1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359/2003 Sb. z </w:t>
          </w:r>
          <w:r>
            <w:rPr>
              <w:rStyle w:val="bold"/>
            </w:rPr>
            <w:t xml:space="preserve">29. 10. 2003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s244" TargetMode="External"/><Relationship Id="rId8" Type="http://schemas.openxmlformats.org/officeDocument/2006/relationships/hyperlink" Target="https://esipa.cz/sbirka/sbsrv.dll/sb?DR=SB&amp;CP=2000s132" TargetMode="External"/><Relationship Id="rId9" Type="http://schemas.openxmlformats.org/officeDocument/2006/relationships/hyperlink" Target="https://esipa.cz/sbirka/sbsrv.dll/sb?DR=SB&amp;CP=1994s222" TargetMode="External"/><Relationship Id="rId10" Type="http://schemas.openxmlformats.org/officeDocument/2006/relationships/hyperlink" Target="https://esipa.cz/sbirka/sbsrv.dll/sb?DR=SB&amp;CP=1998s083" TargetMode="External"/><Relationship Id="rId11" Type="http://schemas.openxmlformats.org/officeDocument/2006/relationships/hyperlink" Target="https://esipa.cz/sbirka/sbsrv.dll/sb?DR=SB&amp;CP=1992s017" TargetMode="External"/><Relationship Id="rId12" Type="http://schemas.openxmlformats.org/officeDocument/2006/relationships/hyperlink" Target="https://esipa.cz/sbirka/sbsrv.dll/sb?DR=SB&amp;CP=1976s050" TargetMode="External"/><Relationship Id="rId13" Type="http://schemas.openxmlformats.org/officeDocument/2006/relationships/hyperlink" Target="https://esipa.cz/sbirka/sbsrv.dll/sb?DR=SB&amp;CP=1997s022" TargetMode="External"/><Relationship Id="rId14" Type="http://schemas.openxmlformats.org/officeDocument/2006/relationships/hyperlink" Target="https://esipa.cz/sbirka/sbsrv.dll/sb?DR=SB&amp;CP=1987s020" TargetMode="External"/><Relationship Id="rId15" Type="http://schemas.openxmlformats.org/officeDocument/2006/relationships/hyperlink" Target="https://esipa.cz/sbirka/sbsrv.dll/sb?DR=SB&amp;CP=1967s071" TargetMode="External"/><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359/2003 Sb. z 29. 10. 2003</dc:title>
  <dc:description>Zákon o hospodaření energií</dc:description>
  <dc:subject/>
  <cp:keywords/>
  <cp:category/>
  <cp:lastModifiedBy/>
  <dcterms:created xsi:type="dcterms:W3CDTF">2003-10-29T00:00:00+01:00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