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 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 insolvenčním řízení (§ 225), porušení povinnosti učinit pravdivé prohlášení o majetku (§ 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 278),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 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sabotáže (§ 314), zneužití zastupování státu a mezinárodní organizace (§ 315), vyzvědačství (§ 316), ohrožení utajované informace (§ 317), ohrožení utajované informace z nedbalosti (318), vzpoury vězňů (§ 344), šíření poplašné zprávy (§ 357), nepřekažení trestného činu (§ 367), neoznámení trestného činu (§ 368)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kterou pachatel získal trestným činem nebo jako odměnu za něj.</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 nebo která byla k spáchání trestného činu určena,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pachatel, byť jen zčásti, nabyl za věc uvedenou v odstavci 1, pokud hodnota věci uvedené v odstavci 1 není ve vztahu k hodnotě nabyté věci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nabyta jinou osobou než pachatelem nebo je-li součástí majetku svěřenského fondu nebo podílového fondu a byla-li nabyta, byť jen zčásti, za věc, která byla získána trestným činem nebo jako odměna za něj, pokud hodnota věci, která byla získána trestným činem nebo jako odměna za něj, není ve vztahu k hodnotě nabyté věci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nabyta jinou osobou než pachatelem nebo je-li součástí majetku svěřenského fondu nebo podílového fondu a byla-li nabyta, byť jen zčásti, za věc, kterou pachatel, byť jen zčásti, nabyl za věc, která byla získána trestným činem nebo jako odměna za něj, pokud hodnota věci, která byla získána trestným činem nebo jako odměna za něj, není ve vztahu k hodnotě nabyté věci zanedbatelná.</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náhradní hodnota, zabraný spis nebo zařízení připadá státu.</w:t>
      </w:r>
    </w:p>
    <w:p>
      <w:pPr>
        <w:ind w:left="0" w:right="0"/>
      </w:pPr>
      <w:r>
        <w:rPr>
          <w:b/>
          <w:bCs/>
        </w:rPr>
        <w:t xml:space="preserve">(2)</w:t>
      </w:r>
      <w:r>
        <w:rPr/>
        <w:t xml:space="preserve"> Ustanovení § 70 odst. 5 se přiměřeně užije pro uložení zabrání věci a pro uložení povinnosti podle § 101 odst. 4; zákaz zcizení zde platí až do splnění povinnosti podle § 101 odst. 4,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nebo majitel nakládá, aniž je oprávněný vlastník, majitel nebo držitel takové věci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která byla opatřena za věc uvedenou v písmenu a), nebo</w:t>
      </w:r>
    </w:p>
    <w:p>
      <w:pPr>
        <w:ind w:left="560" w:right="0"/>
      </w:pPr>
      <w:r>
        <w:rPr/>
        <w:t xml:space="preserve">kdo se ke spáchání takového činu spolčí,</w:t>
      </w:r>
    </w:p>
    <w:p>
      <w:pPr>
        <w:ind w:left="0" w:right="0"/>
      </w:pPr>
      <w:r>
        <w:rPr/>
        <w:t xml:space="preserve">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která byla opatřena za věc uvedenou v písmenu a), nebo</w:t>
      </w:r>
    </w:p>
    <w:p>
      <w:pPr>
        <w:ind w:left="560" w:right="0"/>
      </w:pPr>
      <w:r>
        <w:rPr/>
        <w:t xml:space="preserve">kdo jinému spáchání takového činu umožní nebo se ke spáchání takového činu spolčí,</w:t>
      </w:r>
    </w:p>
    <w:p>
      <w:pPr>
        <w:ind w:left="0" w:right="0"/>
      </w:pPr>
      <w:r>
        <w:rPr/>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teroristickou skupinu nebo jejího člena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ohrožení devizového hospodářství (§ 247), neoprávněného podnikání (§  251), neoprávněného provozování loterie a podobné sázkové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přijetí úplatku (§ 331), podplacení (§ 332), účasti na organizované zločinecké skupině podle § 361 odst. 2 a 3,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6" w:history="1">
        <w:r>
          <w:rPr>
            <w:color w:val="darkblue"/>
            <w:u w:val="single"/>
          </w:rPr>
          <w:t xml:space="preserve">2009/123/ES</w:t>
        </w:r>
      </w:hyperlink>
      <w:r>
        <w:rPr>
          <w:sz w:val="19.200000000000003"/>
          <w:szCs w:val="19.200000000000003"/>
        </w:rPr>
        <w:t xml:space="preserve">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64"/>
      <w:footerReference w:type="default" r:id="rId6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323/2016 Sb. z </w:t>
          </w:r>
          <w:r>
            <w:rPr>
              <w:rStyle w:val="bold"/>
            </w:rPr>
            <w:t xml:space="preserve">18. 10. 2016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05L0060" TargetMode="External"/><Relationship Id="rId45" Type="http://schemas.openxmlformats.org/officeDocument/2006/relationships/hyperlink" Target="https://esipa.cz/sbirka/sbsrv.dll/sb?DR=SB&amp;CP=32008L0099" TargetMode="External"/><Relationship Id="rId46" Type="http://schemas.openxmlformats.org/officeDocument/2006/relationships/hyperlink" Target="https://esipa.cz/sbirka/sbsrv.dll/sb?DR=SB&amp;CP=32009L0123"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2009s040" TargetMode="External"/><Relationship Id="rId64" Type="http://schemas.openxmlformats.org/officeDocument/2006/relationships/header" Target="header1.xml"/><Relationship Id="rId6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323/2016 Sb. z 18. 10. 2016</dc:title>
  <dc:description>Zákon trestní zákoník</dc:description>
  <dc:subject/>
  <cp:keywords/>
  <cp:category/>
  <cp:lastModifiedBy/>
  <dcterms:created xsi:type="dcterms:W3CDTF">2016-10-18T00:00:00+02:00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