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2"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2"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3"/>
      <w:footerReference w:type="default" r:id="rId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105/2013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2009s040" TargetMode="External"/><Relationship Id="rId43" Type="http://schemas.openxmlformats.org/officeDocument/2006/relationships/header" Target="header1.xml"/><Relationship Id="rId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105/2013 Sb. z 1. 1. 2014</dc:title>
  <dc:description>Zákon trestní zákoník</dc:description>
  <dc:subject/>
  <cp:keywords/>
  <cp:category/>
  <cp:lastModifiedBy/>
  <dcterms:created xsi:type="dcterms:W3CDTF">2014-01-01T00:00:00+01:00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