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čin trestný i podle zákona účinného na území, kde byl spáchán,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pachatel byl dopaden na území České republiky a nebyl vydán nebo předán k trestnímu stíhání cizímu státu nebo jinému subjektu k trestnímu stíhání oprávněnému.</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r>
        <w:rPr>
          <w:rStyle w:val="hidden"/>
        </w:rPr>
        <w:t xml:space="preserve"> -</w:t>
      </w:r>
      <w:br/>
      <w:r>
        <w:rPr/>
        <w:t xml:space="preserve">Vydání a předání občanů České republiky</w:t>
      </w:r>
    </w:p>
    <w:p>
      <w:pPr>
        <w:ind w:left="0" w:right="0"/>
      </w:pPr>
      <w:r>
        <w:rPr>
          <w:b/>
          <w:bCs/>
        </w:rPr>
        <w:t xml:space="preserve">(1)</w:t>
      </w:r>
      <w:r>
        <w:rPr/>
        <w:t xml:space="preserve"> Občan České republiky nemůže být vydán cizímu státu k trestnímu stíhání ani k výkonu trestu.</w:t>
      </w:r>
    </w:p>
    <w:p>
      <w:pPr>
        <w:ind w:left="0" w:right="0"/>
      </w:pPr>
      <w:r>
        <w:rPr>
          <w:b/>
          <w:bCs/>
        </w:rPr>
        <w:t xml:space="preserve">(2)</w:t>
      </w:r>
      <w:r>
        <w:rPr/>
        <w:t xml:space="preserve"> Občan České republiky může být předán do jiného členského státu Evropské unie pouze na základě evropského zatýkacího rozkazu.</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porušení zákazů v době nouzového stavu v devizovém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zatýkacího rozkazu nebo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nebo jiné majetkové hodnoty,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w:t>
      </w:r>
      <w:r>
        <w:rPr/>
        <w:t xml:space="preserve">§ 116</w:t>
      </w:r>
      <w:r>
        <w:rPr/>
        <w:t xml:space="preserve">),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nebo jiné majetkové hodnoty,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 nebo jiné majetkové hodnoty,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dvou let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 nebo jiné majetkové hodnoty</w:t>
      </w:r>
    </w:p>
    <w:p>
      <w:pPr>
        <w:ind w:left="0" w:right="0"/>
      </w:pPr>
      <w:r>
        <w:rPr>
          <w:b/>
          <w:bCs/>
        </w:rPr>
        <w:t xml:space="preserve">(1)</w:t>
      </w:r>
      <w:r>
        <w:rPr/>
        <w:t xml:space="preserve"> Soud může uložit trest propadnutí věci nebo jiné majetkové hodnoty,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byla k spáchání trestného činu určena,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kterou pachatel získal trestným činem nebo jako odměnu za něj,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kterou pachatel, byť jen zčásti, nabyl za věc nebo jinou majetkovou hodnotu uvedenou pod písmenem c), pokud hodnota věci nebo jiné majetkové hodnoty uvedené pod písmenem c) není ve vztahu k hodnotě nabyté věci nebo jiné majetkové hodnoty zanedbatelná.</w:t>
      </w:r>
    </w:p>
    <w:p>
      <w:pPr>
        <w:ind w:left="0" w:right="0"/>
      </w:pPr>
      <w:r>
        <w:rPr>
          <w:b/>
          <w:bCs/>
        </w:rPr>
        <w:t xml:space="preserve">(2)</w:t>
      </w:r>
      <w:r>
        <w:rPr/>
        <w:t xml:space="preserve"> Trest propadnutí věci nebo jiné majetkové hodnoty může soud uložit, jen jde-li o věc nebo jinou majetkovou hodnotu náležející pachateli.</w:t>
      </w:r>
    </w:p>
    <w:p>
      <w:pPr>
        <w:ind w:left="0" w:right="0"/>
      </w:pPr>
      <w:r>
        <w:rPr>
          <w:b/>
          <w:bCs/>
        </w:rPr>
        <w:t xml:space="preserve">(3)</w:t>
      </w:r>
      <w:r>
        <w:rPr/>
        <w:t xml:space="preserve"> Drží-li pachatel v rozporu s jiným právním předpisem věc nebo jinou majetkovou hodnotu uvedenou v odstavcích 1 a 2, ve vztahu k níž je možno uložit propadnutí věci nebo jiné majetkové hodnoty, uloží mu soud vždy i tento trest.</w:t>
      </w:r>
    </w:p>
    <w:p>
      <w:pPr>
        <w:ind w:left="0" w:right="0"/>
      </w:pPr>
      <w:r>
        <w:rPr>
          <w:b/>
          <w:bCs/>
        </w:rPr>
        <w:t xml:space="preserve">(4)</w:t>
      </w:r>
      <w:r>
        <w:rPr/>
        <w:t xml:space="preserve"> Před právní mocí rozhodnutí platí zákaz zcizení propadlé věci nebo jiné majetkové hodnoty, který zahrnuje i zákaz jiných dispozic směřujících ke zmaření trestu propadnutí věci nebo jiné majetkové hodnoty.</w:t>
      </w:r>
    </w:p>
    <w:p>
      <w:pPr>
        <w:ind w:left="0" w:right="0"/>
      </w:pPr>
      <w:r>
        <w:rPr>
          <w:b/>
          <w:bCs/>
        </w:rPr>
        <w:t xml:space="preserve">(5)</w:t>
      </w:r>
      <w:r>
        <w:rPr/>
        <w:t xml:space="preserve"> Propadlá věc nebo jiná majetková hodnota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nebo jinou majetkovou hodnotu, kterou soud mohl prohlásit za propadlou podle </w:t>
      </w:r>
      <w:r>
        <w:rPr/>
        <w:t xml:space="preserve">§ 70</w:t>
      </w:r>
      <w:r>
        <w:rPr/>
        <w:t xml:space="preserve"> odst. 1 a 2, před uložením trestu propadnutí věci nebo jiné majetkové hodnoty zničí, poškodí nebo jinak znehodnotí, zcizí, učiní neupotřebitelnou, odstraní nebo zužitkuje, zejména spotřebuje, nebo jinak její propadnutí zmaří, může mu soud uložit propadnutí náhradní hodnoty až do výše, která odpovídá hodnotě takové věci nebo jiné majetkové hodnoty. Hodnotu věci nebo jiné majetkové hodnoty, kterou soud mohl prohlásit za propadlou, může soud stanovit na základě odborného vyjádření nebo znaleckého posudku.</w:t>
      </w:r>
    </w:p>
    <w:p>
      <w:pPr>
        <w:ind w:left="0" w:right="0"/>
      </w:pPr>
      <w:r>
        <w:rPr>
          <w:b/>
          <w:bCs/>
        </w:rPr>
        <w:t xml:space="preserve">(2)</w:t>
      </w:r>
      <w:r>
        <w:rPr/>
        <w:t xml:space="preserve"> Je-li věc nebo jiná majetková hodnota, byť i jen zčásti, znehodnocena, učiněna neupotřebitelnou nebo odstraněna, může soud uložit propadnutí náhradní hodnoty vedle propadnutí věci nebo jiné majetkové hodnoty podle </w:t>
      </w:r>
      <w:r>
        <w:rPr/>
        <w:t xml:space="preserve">§ 70</w:t>
      </w:r>
      <w:r>
        <w:rPr/>
        <w:t xml:space="preserve"> odst. 1.</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 nebo jiné majetkové hodnoty</w:t>
      </w:r>
    </w:p>
    <w:p>
      <w:pPr>
        <w:ind w:left="0" w:right="0"/>
      </w:pPr>
      <w:r>
        <w:rPr/>
        <w:t xml:space="preserve">Trest propadnutí věci nebo jiné majetkové hodnoty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w:t>
      </w:r>
      <w:r>
        <w:rPr/>
        <w:t xml:space="preserve">§ 172</w:t>
      </w:r>
      <w:r>
        <w:rPr/>
        <w:t xml:space="preserve"> odst. 3, 4,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nebo jiné majetkové hodnoty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potrvá, dokud to vyžaduje jeho účel, nejdéle však dvě léta; nebude-li v této době léčba ukončena, rozhodne soud před skončením této doby o jejím prodloužení, a to i opakovaně, vždy však nejdéle o další dvě léta; jinak rozhodne o propuštění z ochranného léčení.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w:t>
      </w:r>
      <w:r>
        <w:rPr/>
        <w:t xml:space="preserve">§ 49</w:t>
      </w:r>
      <w:r>
        <w:rPr/>
        <w:t xml:space="preserve">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 nebo jiné majetkové hodnoty</w:t>
      </w:r>
    </w:p>
    <w:p>
      <w:pPr>
        <w:ind w:left="0" w:right="0"/>
      </w:pPr>
      <w:r>
        <w:rPr>
          <w:b/>
          <w:bCs/>
        </w:rPr>
        <w:t xml:space="preserve">(1)</w:t>
      </w:r>
      <w:r>
        <w:rPr/>
        <w:t xml:space="preserve"> Nebyl-li uložen trest propadnutí věci nebo jiné majetkové hodnoty uvedené v </w:t>
      </w:r>
      <w:r>
        <w:rPr/>
        <w:t xml:space="preserve">§ 70</w:t>
      </w:r>
      <w:r>
        <w:rPr/>
        <w:t xml:space="preserve"> odst. 1, může soud uložit, že se taková věc nebo jiná majetková hodnota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nebo jiné majetkové hodnoty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nebo jiná majetková hodnota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nebo jiná majetková hodnota nabyta jinou osobou než pachatelem, byť jen zčásti,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nebo jiná majetková hodnota nabyta jinou osobou než pachatelem, byť jen zčásti, za věc nebo jinou majetkovou hodnotu, kterou pachatel, byť jen zčásti, nabyl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w:t>
      </w:r>
    </w:p>
    <w:p>
      <w:pPr>
        <w:ind w:left="0" w:right="0"/>
      </w:pPr>
      <w:r>
        <w:rPr>
          <w:b/>
          <w:bCs/>
        </w:rPr>
        <w:t xml:space="preserve">(3)</w:t>
      </w:r>
      <w:r>
        <w:rPr/>
        <w:t xml:space="preserve"> Drží-li pachatel nebo jiná osoba v rozporu s jiným právním předpisem věc nebo jinou majetkovou hodnotu uvedenou v odstavci 1 nebo 2, ve vztahu k níž je možno uložit zabrání věci nebo jiné majetkové hodnoty, uloží mu soud vždy toto ochranné opatření.</w:t>
      </w:r>
    </w:p>
    <w:p>
      <w:pPr>
        <w:ind w:left="0" w:right="0"/>
      </w:pPr>
      <w:r>
        <w:rPr>
          <w:b/>
          <w:bCs/>
        </w:rPr>
        <w:t xml:space="preserve">(4)</w:t>
      </w:r>
      <w:r>
        <w:rPr/>
        <w:t xml:space="preserve"> Soud může místo zabrání věci nebo jiné majetkové hodnoty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nebo jinou majetkovou hodnotu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nebo jinou majetkovou hodnotou, a stanoví k tomu přiměřenou lhůtu.</w:t>
      </w:r>
    </w:p>
    <w:p>
      <w:pPr>
        <w:ind w:left="0" w:right="0"/>
      </w:pPr>
      <w:r>
        <w:rPr>
          <w:b/>
          <w:bCs/>
        </w:rPr>
        <w:t xml:space="preserve">(5)</w:t>
      </w:r>
      <w:r>
        <w:rPr/>
        <w:t xml:space="preserve"> Nebude-li povinnost stanovená podle odstavce 4 ve stanovené lhůtě splněna, rozhodne soud o zabrání věci nebo jiné majetkové hodnoty.</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náleží věc nebo jiná majetková hodnota, která by mohla být zabrána podle </w:t>
      </w:r>
      <w:r>
        <w:rPr/>
        <w:t xml:space="preserve">§ 101</w:t>
      </w:r>
      <w:r>
        <w:rPr/>
        <w:t xml:space="preserve"> odst. 1 nebo 2, ji před rozhodnutím o zabrání zničí, poškodí nebo jinak znehodnotí, zcizí, učiní neupotřebitelnou, odstraní nebo zužitkuje, zejména spotřebuje, nebo jinak její zabrání zmaří, anebo jestliže zmaří trest propadnutí věci nebo jiné majetkové hodnoty jednáním porušujícím zákaz podle </w:t>
      </w:r>
      <w:r>
        <w:rPr/>
        <w:t xml:space="preserve">§ 70</w:t>
      </w:r>
      <w:r>
        <w:rPr/>
        <w:t xml:space="preserve"> odst. 4, popřípadě zmaří zabrání věci nebo jiné majetkové hodnoty jednáním porušujícím zákaz podle </w:t>
      </w:r>
      <w:r>
        <w:rPr/>
        <w:t xml:space="preserve">§ 104</w:t>
      </w:r>
      <w:r>
        <w:rPr/>
        <w:t xml:space="preserve"> odst. 2, může mu soud uložit zabrání náhradní hodnoty až do výše, která odpovídá hodnotě takové věci nebo jiné majetkové hodnoty. Hodnotu věci nebo jiné majetkové hodnoty,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nebo jiná majetková hodnota, zabraná náhradní hodnota, zabraný spis nebo zařízení připadá státu.</w:t>
      </w:r>
    </w:p>
    <w:p>
      <w:pPr>
        <w:ind w:left="0" w:right="0"/>
      </w:pPr>
      <w:r>
        <w:rPr>
          <w:b/>
          <w:bCs/>
        </w:rPr>
        <w:t xml:space="preserve">(2)</w:t>
      </w:r>
      <w:r>
        <w:rPr/>
        <w:t xml:space="preserve"> Ustanovení </w:t>
      </w:r>
      <w:r>
        <w:rPr/>
        <w:t xml:space="preserve">§ 70</w:t>
      </w:r>
      <w:r>
        <w:rPr/>
        <w:t xml:space="preserve"> odst. 4 se přiměřeně užije pro uložení zabrání věci nebo jiné majetkové hodnoty a pro uložení povinnosti podle </w:t>
      </w:r>
      <w:r>
        <w:rPr/>
        <w:t xml:space="preserve">§ 101</w:t>
      </w:r>
      <w:r>
        <w:rPr/>
        <w:t xml:space="preserve"> odst. 4; zákaz zcizení zde platí až do splnění povinnosti podle </w:t>
      </w:r>
      <w:r>
        <w:rPr/>
        <w:t xml:space="preserve">§ 101</w:t>
      </w:r>
      <w:r>
        <w:rPr/>
        <w:t xml:space="preserve"> odst. 4, a nebyla-li tato povinnost splněna, až do právní moci rozhodnutí o zabrání věci nebo jiné majetkové hodnoty (</w:t>
      </w:r>
      <w:r>
        <w:rPr/>
        <w:t xml:space="preserve">§ 101</w:t>
      </w:r>
      <w:r>
        <w:rPr/>
        <w:t xml:space="preserve">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nebo jiné majetkové hodnoty,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 a jiná majetková hodnota</w:t>
      </w:r>
    </w:p>
    <w:p>
      <w:pPr>
        <w:ind w:left="0" w:right="0"/>
      </w:pPr>
      <w:r>
        <w:rPr>
          <w:b/>
          <w:bCs/>
        </w:rPr>
        <w:t xml:space="preserve">(1)</w:t>
      </w:r>
      <w:r>
        <w:rPr/>
        <w:t xml:space="preserve"> Věcí se rozumí i ovladatelná přírodní síla. Ustanovení o věcech se vztahují i na živá zvířata, zpracované oddělené části lidského těla, peněžní prostředky na účtu a na cenné papíry, nevyplývá-li z jednotlivých ustanovení trestního zákona něco jiného.</w:t>
      </w:r>
    </w:p>
    <w:p>
      <w:pPr>
        <w:ind w:left="0" w:right="0"/>
      </w:pPr>
      <w:r>
        <w:rPr>
          <w:b/>
          <w:bCs/>
        </w:rPr>
        <w:t xml:space="preserve">(2)</w:t>
      </w:r>
      <w:r>
        <w:rPr/>
        <w:t xml:space="preserve"> Jinou majetkovou hodnotou se rozumí majetkové právo nebo jiná penězi ocenitelná hodnota, která není věcí a nevztahují se na ni ustanovení o věcech podle odstavce 1.</w:t>
      </w:r>
    </w:p>
    <w:p>
      <w:pPr>
        <w:pStyle w:val="Heading3"/>
      </w:pPr>
      <w:r>
        <w:rPr>
          <w:b/>
          <w:bCs/>
        </w:rPr>
        <w:t xml:space="preserve">§ 135</w:t>
      </w:r>
      <w:r>
        <w:rPr>
          <w:rStyle w:val="hidden"/>
        </w:rPr>
        <w:t xml:space="preserve"> -</w:t>
      </w:r>
      <w:br/>
      <w:r>
        <w:rPr/>
        <w:t xml:space="preserve">Věc a jiná majetková hodnota náležející pachateli</w:t>
      </w:r>
    </w:p>
    <w:p>
      <w:pPr>
        <w:ind w:left="0" w:right="0"/>
      </w:pPr>
      <w:r>
        <w:rPr/>
        <w:t xml:space="preserve">Věc nebo jiná majetková hodnota náleží pachateli, jestliže ji v době rozhodnutí o ní vlastní, je součástí jeho majetku nebo s ní fakticky jako vlastník nebo majitel nakládá, aniž je oprávněný vlastník, majitel nebo držitel takové věci nebo jiné majetkové hodnoty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 Přiměřeně se postupuje při stanovení výše škody na jiné majetkové hodnotě.</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 a jiné majetkové hodnoty</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hodnoty věci a jiné majetkové hodnoty.</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nebo vydá dítě, aby ho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jí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 nebo jiné majetkové hodnoty.</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 nebo jiné majetkové hodnoty.</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 nebo jiné majetkové hodnoty.</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 nebo jiné majetkové hodnoty.</w:t>
      </w:r>
    </w:p>
    <w:p>
      <w:pPr>
        <w:ind w:left="0" w:right="0"/>
      </w:pPr>
      <w:r>
        <w:rPr>
          <w:b/>
          <w:bCs/>
        </w:rPr>
        <w:t xml:space="preserve">(3)</w:t>
      </w:r>
      <w:r>
        <w:rPr/>
        <w:t xml:space="preserve"> Odnětím svobody na dvě léta až šest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tři léta až osm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 nebo jiné majetkové hodnoty.</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nebo jinou majetkovou hodnotu, která mu byla svěřena,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 nebo jiné majetkové hodnoty.</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nebo jinou majetkovou hodnotu,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nebo jinou majetkovou hodnotu, která byla opatřena za věc nebo jinou majetkovou hodnotu uvedenou v písmenu a),</w:t>
      </w:r>
    </w:p>
    <w:p>
      <w:pPr>
        <w:ind w:left="0" w:right="0"/>
      </w:pPr>
      <w:r>
        <w:rPr/>
        <w:t xml:space="preserve">bude potrestán odnětím svobody až na čtyři léta, peněžitým trestem, zákazem činnosti nebo propadnutím věci nebo jiné majetkové hodnoty;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nebo jinou majetkovou hodnotu nikoli malé hodnoty, která byla získána trestným činem spáchaným na území České republiky nebo v cizině jinou osobou,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nebo jiné majetkové hodnoty,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nebo jiné majetkové hodnoty, která byla opatřena za věc nebo jinou majetkovou hodnotu uvedenou v písmenu a), nebo</w:t>
      </w:r>
    </w:p>
    <w:p>
      <w:pPr>
        <w:ind w:left="560" w:right="0"/>
      </w:pPr>
      <w:r>
        <w:rPr/>
        <w:t xml:space="preserve">kdo jinému spáchání takového činu umožní,</w:t>
      </w:r>
    </w:p>
    <w:p>
      <w:pPr>
        <w:ind w:left="0" w:right="0"/>
      </w:pPr>
      <w:r>
        <w:rPr/>
        <w:t xml:space="preserve">bude potrestán odnětím svobody až na čtyři léta, peněžitým trestem, zákazem činnosti nebo propadnutím věci nebo jiné majetkové hodnoty; spáchá-li však takový čin ve vztahu k věci nebo jiné majetkové hodnotě,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nebo jiné majetkové hodnoty ve větší hodnotě, která byla získána trestným činem spáchaným na území České republiky nebo v cizině,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nebo jinou majetkovou hodnotu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 nebo jiné majetkové hodnoty.</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 nebo jiné majetkové hodnoty.</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jeden rok, zákazem činnosti nebo propadnutím věci nebo jiné majetkové hodnoty.</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zákazem činnosti nebo propadnutím věci nebo jiné majetkové hodnoty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jeden rok, propadnutím věci nebo jiné majetkové hodnoty nebo zákazem činnosti.</w:t>
      </w:r>
    </w:p>
    <w:p>
      <w:pPr>
        <w:ind w:left="0" w:right="0"/>
      </w:pPr>
      <w:r>
        <w:rPr>
          <w:b/>
          <w:bCs/>
        </w:rPr>
        <w:t xml:space="preserve">(2)</w:t>
      </w:r>
      <w:r>
        <w:rPr/>
        <w:t xml:space="preserve"> Odnětím svobody až na tři léta,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 nebo jiné majetkové hodnoty.</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 nebo jiné majetkové hodnoty.</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 nebo jiné majetkové hodnoty.</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 spáchá-li čin uvedený v odstavci 1 ve velkém rozsahu.</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důchodové spoření,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Porušení zákazů v době nouzového stavu v devizovém hospodářství</w:t>
      </w:r>
    </w:p>
    <w:p>
      <w:pPr>
        <w:ind w:left="0" w:right="0"/>
      </w:pPr>
      <w:r>
        <w:rPr/>
        <w:t xml:space="preserve">Kdo v době nouzového stavu v devizovém hospodářství poruší zákazy, které jsou stanoveny devizovým zákonem pro nouzový stav v devizovém hospodářství a vztahují se na vyhlášený nouzový stav,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bank a jiných právnických osob oprávněných k provozování finanční činnosti, obchodování s investičními nástroji, kolektivního investování, penzijního připojištění a pojišťovnictví,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 nebo jiné majetkové hodnoty.</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 nebo jiné majetkové hodnoty.</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 nebo jiné majetkové hodnoty.</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 nebo jiné majetkové hodnoty.</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 nebo jiné majetkové hodnoty.</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 nebo jiné majetkové hodnoty.</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 nebo jiné majetkové hodnoty.</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 nebo jiné majetkové hodnoty.</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 nebo jiné majetkové hodnoty.</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w:t>
      </w:r>
      <w:r>
        <w:rPr/>
        <w:t xml:space="preserve">§ 283</w:t>
      </w:r>
      <w:r>
        <w:rPr/>
        <w:t xml:space="preserve">, 284 a 286 a jaké je množství větší než malé u omamných látek, psychotropních látek, přípravků je obsahujících a jedů.</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v nikoli malém rozsahu vyrobí, doveze, vyveze, uvede na trh látku poškozující ozonovou vrstvu nebo s ní jinak nakládá,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 nebo jiné majetkové hodnoty.</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 nebo jiné majetkové hodnoty.</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 nebo jiné majetkové hodnoty.</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nebo jiného prostředku osobní či nákladní dopravy nebo nad ním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nebo člena teroristické skupiny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 nebo jiné majetkové hodnoty.</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nebo jinou majetkovou hodnotu,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jiné majetkové hodnoty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loterie a podobné sázkové hry (§ 252), sjednání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w:t>
      </w:r>
      <w:r>
        <w:rPr/>
        <w:t xml:space="preserve">§ 415</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zkrácení daně, poplatku a podobné povinné platby podle § 240 odst. 3,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účasti na organizované zločinecké skupině podle § 361 odst. 2 a 3,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a zneužití mezinárodně uznávaných a státních znaků podle </w:t>
      </w:r>
      <w:r>
        <w:rPr/>
        <w:t xml:space="preserve">§ 415</w:t>
      </w:r>
      <w:r>
        <w:rPr/>
        <w:t xml:space="preserve">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w:t>
      </w:r>
      <w:r>
        <w:rPr/>
        <w:t xml:space="preserve">§ 140</w:t>
      </w:r>
      <w:r>
        <w:rPr/>
        <w:t xml:space="preserve">), těžkého ublížení na zdraví (</w:t>
      </w:r>
      <w:r>
        <w:rPr/>
        <w:t xml:space="preserve">§ 145</w:t>
      </w:r>
      <w:r>
        <w:rPr/>
        <w:t xml:space="preserve">), mučení a jiného nelidského a krutého zacházení (</w:t>
      </w:r>
      <w:r>
        <w:rPr/>
        <w:t xml:space="preserve">§ 149</w:t>
      </w:r>
      <w:r>
        <w:rPr/>
        <w:t xml:space="preserve">), obchodování s lidmi (</w:t>
      </w:r>
      <w:r>
        <w:rPr/>
        <w:t xml:space="preserve">§ 168</w:t>
      </w:r>
      <w:r>
        <w:rPr/>
        <w:t xml:space="preserve">), zbavení osobní svobody (</w:t>
      </w:r>
      <w:r>
        <w:rPr/>
        <w:t xml:space="preserve">§ 170</w:t>
      </w:r>
      <w:r>
        <w:rPr/>
        <w:t xml:space="preserve">), braní rukojmí (</w:t>
      </w:r>
      <w:r>
        <w:rPr/>
        <w:t xml:space="preserve">§ 174</w:t>
      </w:r>
      <w:r>
        <w:rPr/>
        <w:t xml:space="preserve">), zneužití dítěte k výrobě pornografie (</w:t>
      </w:r>
      <w:r>
        <w:rPr/>
        <w:t xml:space="preserve">§ 193</w:t>
      </w:r>
      <w:r>
        <w:rPr/>
        <w:t xml:space="preserve">), týrání svěřené osoby (</w:t>
      </w:r>
      <w:r>
        <w:rPr/>
        <w:t xml:space="preserve">§ 198</w:t>
      </w:r>
      <w:r>
        <w:rPr/>
        <w:t xml:space="preserve">),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přijetí úplatku (</w:t>
      </w:r>
      <w:r>
        <w:rPr/>
        <w:t xml:space="preserve">§ 331</w:t>
      </w:r>
      <w:r>
        <w:rPr/>
        <w:t xml:space="preserve">), podplacení (</w:t>
      </w:r>
      <w:r>
        <w:rPr/>
        <w:t xml:space="preserve">§ 332</w:t>
      </w:r>
      <w:r>
        <w:rPr/>
        <w:t xml:space="preserve">), účasti na organizované zločinecké skupině podle </w:t>
      </w:r>
      <w:r>
        <w:rPr/>
        <w:t xml:space="preserve">§ 361</w:t>
      </w:r>
      <w:r>
        <w:rPr/>
        <w:t xml:space="preserve"> odst. 2 a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t xml:space="preserve">Kdo se nedostaví za stavu ohrožení státu nebo za válečného stavu k odvodnímu řízení v úmyslu svou odvodní povinnost nesplnit nebo její splnění oddálit, bude potrestán odnětím svobody na šest měsíců až tři léta.</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za stavu ohrožení státu nebo za válečného stavu se dopustí pletich v úmyslu dosáhnout úlev v plnění branné povinnosti, bude potrestán odnětím svobody na šest měsíců až tři léta.</w:t>
      </w:r>
    </w:p>
    <w:p>
      <w:pPr>
        <w:ind w:left="0" w:right="0"/>
      </w:pPr>
      <w:r>
        <w:rPr>
          <w:b/>
          <w:bCs/>
        </w:rPr>
        <w:t xml:space="preserve">(2)</w:t>
      </w:r>
      <w:r>
        <w:rPr/>
        <w:t xml:space="preserve"> Kdo za stavu ohrožení státu nebo za válečného stavu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tři léta až pět let.</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úmyslně čin uvedený v odstavci 1 nebo 2 za stavu ohrožení státu nebo za válečného stavu nebo za bojové situace,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(5)</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jiné zločiny nacistů a komunistů proti lidskosti,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 jinou majetkovou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w:t>
      </w:r>
      <w:r>
        <w:rPr/>
        <w:t xml:space="preserve">§ 400</w:t>
      </w:r>
      <w:r>
        <w:rPr/>
        <w:t xml:space="preserve">), útoku proti lidskosti (</w:t>
      </w:r>
      <w:r>
        <w:rPr/>
        <w:t xml:space="preserve">§ 401</w:t>
      </w:r>
      <w:r>
        <w:rPr/>
        <w:t xml:space="preserve">), přípravy útočné války (</w:t>
      </w:r>
      <w:r>
        <w:rPr/>
        <w:t xml:space="preserve">§ 406</w:t>
      </w:r>
      <w:r>
        <w:rPr/>
        <w:t xml:space="preserve">), podněcování útočné války (</w:t>
      </w:r>
      <w:r>
        <w:rPr/>
        <w:t xml:space="preserve">§ 407</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nebo ublížení parlamentáři (</w:t>
      </w:r>
      <w:r>
        <w:rPr/>
        <w:t xml:space="preserve">§ 417</w:t>
      </w:r>
      <w:r>
        <w:rPr/>
        <w:t xml:space="preserve">)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8"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9" w:history="1">
        <w:r>
          <w:rPr>
            <w:color w:val="darkblue"/>
            <w:u w:val="single"/>
          </w:rPr>
          <w:t xml:space="preserve">53/1963 Sb.</w:t>
        </w:r>
      </w:hyperlink>
      <w:r>
        <w:rPr/>
        <w:t xml:space="preserve">, kterým se mění </w:t>
      </w:r>
      <w:hyperlink r:id="rId10"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1"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2" w:history="1">
        <w:r>
          <w:rPr>
            <w:color w:val="darkblue"/>
            <w:u w:val="single"/>
          </w:rPr>
          <w:t xml:space="preserve">148/1969 Sb.</w:t>
        </w:r>
      </w:hyperlink>
      <w:r>
        <w:rPr/>
        <w:t xml:space="preserve">, kterým se mění a doplňuje trestní zákon, ve znění zákona č. </w:t>
      </w:r>
      <w:hyperlink r:id="rId13"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3" w:history="1">
        <w:r>
          <w:rPr>
            <w:color w:val="darkblue"/>
            <w:u w:val="single"/>
          </w:rPr>
          <w:t xml:space="preserve">45/1973 Sb.</w:t>
        </w:r>
      </w:hyperlink>
      <w:r>
        <w:rPr/>
        <w:t xml:space="preserve">, kterým se mění a doplňuje trestní zákon, ve znění zákona č. </w:t>
      </w:r>
      <w:hyperlink r:id="rId14" w:history="1">
        <w:r>
          <w:rPr>
            <w:color w:val="darkblue"/>
            <w:u w:val="single"/>
          </w:rPr>
          <w:t xml:space="preserve">175/1990 Sb.</w:t>
        </w:r>
      </w:hyperlink>
      <w:r>
        <w:rPr/>
        <w:t xml:space="preserve">, a zákona č. </w:t>
      </w:r>
      <w:hyperlink r:id="rId15"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4" w:history="1">
        <w:r>
          <w:rPr>
            <w:color w:val="darkblue"/>
            <w:u w:val="single"/>
          </w:rPr>
          <w:t xml:space="preserve">175/1990 Sb.</w:t>
        </w:r>
      </w:hyperlink>
      <w:r>
        <w:rPr/>
        <w:t xml:space="preserve">, kterým se mění a doplňuje trestní zákon, ve znění zákona č. </w:t>
      </w:r>
      <w:hyperlink r:id="rId16"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19" w:history="1">
        <w:r>
          <w:rPr>
            <w:color w:val="darkblue"/>
            <w:u w:val="single"/>
          </w:rPr>
          <w:t xml:space="preserve">253/1997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0" w:history="1">
        <w:r>
          <w:rPr>
            <w:color w:val="darkblue"/>
            <w:u w:val="single"/>
          </w:rPr>
          <w:t xml:space="preserve">92/1998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1" w:history="1">
        <w:r>
          <w:rPr>
            <w:color w:val="darkblue"/>
            <w:u w:val="single"/>
          </w:rPr>
          <w:t xml:space="preserve">96/1999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2" w:history="1">
        <w:r>
          <w:rPr>
            <w:color w:val="darkblue"/>
            <w:u w:val="single"/>
          </w:rPr>
          <w:t xml:space="preserve">327/1999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3" w:history="1">
        <w:r>
          <w:rPr>
            <w:color w:val="darkblue"/>
            <w:u w:val="single"/>
          </w:rPr>
          <w:t xml:space="preserve">405/2000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4" w:history="1">
        <w:r>
          <w:rPr>
            <w:color w:val="darkblue"/>
            <w:u w:val="single"/>
          </w:rPr>
          <w:t xml:space="preserve">139/2001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5" w:history="1">
        <w:r>
          <w:rPr>
            <w:color w:val="darkblue"/>
            <w:u w:val="single"/>
          </w:rPr>
          <w:t xml:space="preserve">134/2002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6" w:history="1">
        <w:r>
          <w:rPr>
            <w:color w:val="darkblue"/>
            <w:u w:val="single"/>
          </w:rPr>
          <w:t xml:space="preserve">91/2004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7" w:history="1">
        <w:r>
          <w:rPr>
            <w:color w:val="darkblue"/>
            <w:u w:val="single"/>
          </w:rPr>
          <w:t xml:space="preserve">692/2004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8" w:history="1">
        <w:r>
          <w:rPr>
            <w:color w:val="darkblue"/>
            <w:u w:val="single"/>
          </w:rPr>
          <w:t xml:space="preserve">320/2006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29" w:history="1">
        <w:r>
          <w:rPr>
            <w:color w:val="darkblue"/>
            <w:u w:val="single"/>
          </w:rPr>
          <w:t xml:space="preserve">343/2006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0" w:history="1">
        <w:r>
          <w:rPr>
            <w:color w:val="darkblue"/>
            <w:u w:val="single"/>
          </w:rPr>
          <w:t xml:space="preserve">271/2007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1" w:history="1">
        <w:r>
          <w:rPr>
            <w:color w:val="darkblue"/>
            <w:u w:val="single"/>
          </w:rPr>
          <w:t xml:space="preserve">165/1950 Sb.</w:t>
        </w:r>
      </w:hyperlink>
      <w:r>
        <w:rPr/>
        <w:t xml:space="preserve">, na ochranu míru, ve znění zákona č. </w:t>
      </w:r>
      <w:hyperlink r:id="rId8"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2" w:history="1">
        <w:r>
          <w:rPr>
            <w:color w:val="darkblue"/>
            <w:u w:val="single"/>
          </w:rPr>
          <w:t xml:space="preserve">120/1962 Sb.</w:t>
        </w:r>
      </w:hyperlink>
      <w:r>
        <w:rPr/>
        <w:t xml:space="preserve">, o boji proti alkoholismu, ve znění zákona č. </w:t>
      </w:r>
      <w:hyperlink r:id="rId33"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4"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5"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6" w:history="1">
        <w:r>
          <w:rPr>
            <w:color w:val="darkblue"/>
            <w:u w:val="single"/>
          </w:rPr>
          <w:t xml:space="preserve">10/1999 Sb.</w:t>
        </w:r>
      </w:hyperlink>
      <w:r>
        <w:rPr/>
        <w:t xml:space="preserve">, kterým se zrušuje nařízení vlády č. </w:t>
      </w:r>
      <w:hyperlink r:id="rId37"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8"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8"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39" w:history="1">
        <w:r>
          <w:rPr>
            <w:color w:val="darkblue"/>
            <w:u w:val="single"/>
          </w:rPr>
          <w:t xml:space="preserve">40/2002 Sb.</w:t>
        </w:r>
      </w:hyperlink>
      <w:r>
        <w:rPr/>
        <w:t xml:space="preserve">, a nařízení vlády č. </w:t>
      </w:r>
      <w:hyperlink r:id="rId40"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41"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41"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sectPr>
      <w:headerReference w:type="default" r:id="rId42"/>
      <w:footerReference w:type="default" r:id="rId4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494/2012 Sb. z </w:t>
          </w:r>
          <w:r>
            <w:rPr>
              <w:rStyle w:val="bold"/>
            </w:rPr>
            <w:t xml:space="preserve">15. 1. 2013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1961s140" TargetMode="External"/><Relationship Id="rId9" Type="http://schemas.openxmlformats.org/officeDocument/2006/relationships/hyperlink" Target="https://esipa.cz/sbirka/sbsrv.dll/sb?DR=SB&amp;CP=1963s053" TargetMode="External"/><Relationship Id="rId10" Type="http://schemas.openxmlformats.org/officeDocument/2006/relationships/hyperlink" Target="https://esipa.cz/sbirka/sbsrv.dll/sb?DR=SB&amp;CP=1961s140#C02_H05_P203" TargetMode="External"/><Relationship Id="rId11" Type="http://schemas.openxmlformats.org/officeDocument/2006/relationships/hyperlink" Target="https://esipa.cz/sbirka/sbsrv.dll/sb?DR=SB&amp;CP=1965s056" TargetMode="External"/><Relationship Id="rId12" Type="http://schemas.openxmlformats.org/officeDocument/2006/relationships/hyperlink" Target="https://esipa.cz/sbirka/sbsrv.dll/sb?DR=SB&amp;CP=1969s148" TargetMode="External"/><Relationship Id="rId13" Type="http://schemas.openxmlformats.org/officeDocument/2006/relationships/hyperlink" Target="https://esipa.cz/sbirka/sbsrv.dll/sb?DR=SB&amp;CP=1973s045" TargetMode="External"/><Relationship Id="rId14" Type="http://schemas.openxmlformats.org/officeDocument/2006/relationships/hyperlink" Target="https://esipa.cz/sbirka/sbsrv.dll/sb?DR=SB&amp;CP=1990s175" TargetMode="External"/><Relationship Id="rId15" Type="http://schemas.openxmlformats.org/officeDocument/2006/relationships/hyperlink" Target="https://esipa.cz/sbirka/sbsrv.dll/sb?DR=SB&amp;CP=1993s290" TargetMode="External"/><Relationship Id="rId16" Type="http://schemas.openxmlformats.org/officeDocument/2006/relationships/hyperlink" Target="https://esipa.cz/sbirka/sbsrv.dll/sb?DR=SB&amp;CP=2001s265" TargetMode="External"/><Relationship Id="rId17" Type="http://schemas.openxmlformats.org/officeDocument/2006/relationships/hyperlink" Target="https://esipa.cz/sbirka/sbsrv.dll/sb?DR=SB&amp;CP=1990s545" TargetMode="External"/><Relationship Id="rId18" Type="http://schemas.openxmlformats.org/officeDocument/2006/relationships/hyperlink" Target="https://esipa.cz/sbirka/sbsrv.dll/sb?DR=SB&amp;CP=1991s557" TargetMode="External"/><Relationship Id="rId19" Type="http://schemas.openxmlformats.org/officeDocument/2006/relationships/hyperlink" Target="https://esipa.cz/sbirka/sbsrv.dll/sb?DR=SB&amp;CP=1997s253" TargetMode="External"/><Relationship Id="rId20" Type="http://schemas.openxmlformats.org/officeDocument/2006/relationships/hyperlink" Target="https://esipa.cz/sbirka/sbsrv.dll/sb?DR=SB&amp;CP=1998s092" TargetMode="External"/><Relationship Id="rId21" Type="http://schemas.openxmlformats.org/officeDocument/2006/relationships/hyperlink" Target="https://esipa.cz/sbirka/sbsrv.dll/sb?DR=SB&amp;CP=1999s096" TargetMode="External"/><Relationship Id="rId22" Type="http://schemas.openxmlformats.org/officeDocument/2006/relationships/hyperlink" Target="https://esipa.cz/sbirka/sbsrv.dll/sb?DR=SB&amp;CP=1999s327" TargetMode="External"/><Relationship Id="rId23" Type="http://schemas.openxmlformats.org/officeDocument/2006/relationships/hyperlink" Target="https://esipa.cz/sbirka/sbsrv.dll/sb?DR=SB&amp;CP=2000s405" TargetMode="External"/><Relationship Id="rId24" Type="http://schemas.openxmlformats.org/officeDocument/2006/relationships/hyperlink" Target="https://esipa.cz/sbirka/sbsrv.dll/sb?DR=SB&amp;CP=2001s139" TargetMode="External"/><Relationship Id="rId25" Type="http://schemas.openxmlformats.org/officeDocument/2006/relationships/hyperlink" Target="https://esipa.cz/sbirka/sbsrv.dll/sb?DR=SB&amp;CP=2002s134" TargetMode="External"/><Relationship Id="rId26" Type="http://schemas.openxmlformats.org/officeDocument/2006/relationships/hyperlink" Target="https://esipa.cz/sbirka/sbsrv.dll/sb?DR=SB&amp;CP=2004s091" TargetMode="External"/><Relationship Id="rId27" Type="http://schemas.openxmlformats.org/officeDocument/2006/relationships/hyperlink" Target="https://esipa.cz/sbirka/sbsrv.dll/sb?DR=SB&amp;CP=2004s692" TargetMode="External"/><Relationship Id="rId28" Type="http://schemas.openxmlformats.org/officeDocument/2006/relationships/hyperlink" Target="https://esipa.cz/sbirka/sbsrv.dll/sb?DR=SB&amp;CP=2006s320" TargetMode="External"/><Relationship Id="rId29" Type="http://schemas.openxmlformats.org/officeDocument/2006/relationships/hyperlink" Target="https://esipa.cz/sbirka/sbsrv.dll/sb?DR=SB&amp;CP=2006s343" TargetMode="External"/><Relationship Id="rId30" Type="http://schemas.openxmlformats.org/officeDocument/2006/relationships/hyperlink" Target="https://esipa.cz/sbirka/sbsrv.dll/sb?DR=SB&amp;CP=2007s271" TargetMode="External"/><Relationship Id="rId31" Type="http://schemas.openxmlformats.org/officeDocument/2006/relationships/hyperlink" Target="https://esipa.cz/sbirka/sbsrv.dll/sb?DR=SB&amp;CP=1950s165" TargetMode="External"/><Relationship Id="rId32" Type="http://schemas.openxmlformats.org/officeDocument/2006/relationships/hyperlink" Target="https://esipa.cz/sbirka/sbsrv.dll/sb?DR=SB&amp;CP=1962s120" TargetMode="External"/><Relationship Id="rId33" Type="http://schemas.openxmlformats.org/officeDocument/2006/relationships/hyperlink" Target="https://esipa.cz/sbirka/sbsrv.dll/sb?DR=SB&amp;CP=1989s037" TargetMode="External"/><Relationship Id="rId34" Type="http://schemas.openxmlformats.org/officeDocument/2006/relationships/hyperlink" Target="https://esipa.cz/sbirka/sbsrv.dll/sb?DR=SB&amp;CP=2002s482" TargetMode="External"/><Relationship Id="rId35" Type="http://schemas.openxmlformats.org/officeDocument/2006/relationships/hyperlink" Target="https://esipa.cz/sbirka/sbsrv.dll/sb?DR=SB&amp;CP=1997s072" TargetMode="External"/><Relationship Id="rId36" Type="http://schemas.openxmlformats.org/officeDocument/2006/relationships/hyperlink" Target="https://esipa.cz/sbirka/sbsrv.dll/sb?DR=SB&amp;CP=1999s010" TargetMode="External"/><Relationship Id="rId37" Type="http://schemas.openxmlformats.org/officeDocument/2006/relationships/hyperlink" Target="https://esipa.cz/sbirka/sbsrv.dll/sb?DR=SB&amp;CP=1988s192" TargetMode="External"/><Relationship Id="rId38" Type="http://schemas.openxmlformats.org/officeDocument/2006/relationships/hyperlink" Target="https://esipa.cz/sbirka/sbsrv.dll/sb?DR=SB&amp;CP=1999s114" TargetMode="External"/><Relationship Id="rId39" Type="http://schemas.openxmlformats.org/officeDocument/2006/relationships/hyperlink" Target="https://esipa.cz/sbirka/sbsrv.dll/sb?DR=SB&amp;CP=2002s040" TargetMode="External"/><Relationship Id="rId40" Type="http://schemas.openxmlformats.org/officeDocument/2006/relationships/hyperlink" Target="https://esipa.cz/sbirka/sbsrv.dll/sb?DR=SB&amp;CP=2003s444" TargetMode="External"/><Relationship Id="rId41" Type="http://schemas.openxmlformats.org/officeDocument/2006/relationships/hyperlink" Target="https://esipa.cz/sbirka/sbsrv.dll/sb?DR=SB&amp;CP=2009s040" TargetMode="External"/><Relationship Id="rId42" Type="http://schemas.openxmlformats.org/officeDocument/2006/relationships/header" Target="header1.xm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494/2012 Sb. z 15. 1. 2013</dc:title>
  <dc:description>Zákon trestní zákoník</dc:description>
  <dc:subject/>
  <cp:keywords/>
  <cp:category/>
  <cp:lastModifiedBy/>
  <dcterms:created xsi:type="dcterms:W3CDTF">2013-01-15T00:00:00+01:00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