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a zařízení určeného k neoprávněnému získání platebního prostředku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nedovoleného ozbrojování (</w:t>
      </w:r>
      <w:r>
        <w:rPr/>
        <w:t xml:space="preserve">§ 279</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w:t>
      </w:r>
      <w:r>
        <w:rPr/>
        <w:t xml:space="preserve">§ 318</w:t>
      </w:r>
      <w:r>
        <w:rPr/>
        <w:t xml:space="preserve">), účasti na nestátní ozbrojené skupině zaměřené na působení v ozbrojeném konfliktu (</w:t>
      </w:r>
      <w:r>
        <w:rPr/>
        <w:t xml:space="preserve">§ 321a</w:t>
      </w:r>
      <w:r>
        <w:rPr/>
        <w:t xml:space="preserve">),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 202)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s další osobou,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hyperlink r:id="rId11" w:history="1">
        <w:r>
          <w:rPr>
            <w:color w:val="darkblue"/>
            <w:u w:val="single"/>
          </w:rPr>
          <w:t xml:space="preserve"/>
        </w:r>
      </w:hyperlink>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pPr>
        <w:ind w:left="0" w:right="0"/>
      </w:pPr>
      <w:r>
        <w:rPr>
          <w:b/>
          <w:bCs/>
        </w:rPr>
        <w:t xml:space="preserve">(7)</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(8)</w:t>
      </w:r>
      <w:r>
        <w:rPr/>
        <w:t xml:space="preserve"> Neučinil-li soud do jednoho roku od uplynutí zkušební doby rozhodnutí podle odstavce 7, aniž na tom měl pachatel, od jehož potrestání bylo podmíněně upuštěno, vinu, má se za to, že se osvědčil.</w:t>
      </w:r>
    </w:p>
    <w:p>
      <w:pPr>
        <w:ind w:left="0" w:right="0"/>
      </w:pPr>
      <w:r>
        <w:rPr>
          <w:b/>
          <w:bCs/>
        </w:rPr>
        <w:t xml:space="preserve">(9)</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t xml:space="preserve">Probační úředník je povinen vykonávat dohled nad pachatelem v souladu s vytvořeným probačním plánem, být mu nápomocen v jeho záležitostech a plnit pokyny předsedy senátu směřující,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p>
    <w:p>
      <w:pPr>
        <w:jc w:val="center"/>
        <w:ind w:left="0" w:right="0"/>
      </w:pPr>
      <w:r>
        <w:rPr/>
        <w:t xml:space="preserve">zrušen zákonem č. </w:t>
      </w:r>
      <w:hyperlink r:id="rId12" w:history="1">
        <w:r>
          <w:rPr>
            <w:color w:val="darkblue"/>
            <w:u w:val="single"/>
          </w:rPr>
          <w:t xml:space="preserve">220/2021 Sb.</w:t>
        </w:r>
      </w:hyperlink>
      <w:r>
        <w:rPr/>
        <w:t xml:space="preserve"> (účinnost: 1. ledna 2022)</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nad pachatelem na dobu výkonu trestu domácího vězení vyslovit dohled; na výkon dohledu se použijí obdobně § 49 až 51.</w:t>
      </w:r>
    </w:p>
    <w:p>
      <w:pPr>
        <w:ind w:left="0" w:right="0"/>
      </w:pPr>
      <w:r>
        <w:rPr>
          <w:b/>
          <w:bCs/>
        </w:rPr>
        <w:t xml:space="preserve">(6)</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(7)</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60a</w:t>
      </w:r>
      <w:r>
        <w:rPr>
          <w:rStyle w:val="hidden"/>
        </w:rPr>
        <w:t xml:space="preserve"> -</w:t>
      </w:r>
      <w:br/>
      <w:r>
        <w:rPr/>
        <w:t xml:space="preserve">Zrušení dohledu nebo přiměřených omezení, přiměřených povinností a výchovných opatření</w:t>
      </w:r>
    </w:p>
    <w:p>
      <w:pPr>
        <w:ind w:left="0" w:right="0"/>
      </w:pPr>
      <w:r>
        <w:rPr/>
        <w:t xml:space="preserve">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pPr>
        <w:ind w:left="0" w:right="0"/>
      </w:pPr>
      <w:r>
        <w:rPr>
          <w:b/>
          <w:bCs/>
        </w:rPr>
        <w:t xml:space="preserve">(2)</w:t>
      </w:r>
      <w:r>
        <w:rPr/>
        <w:t xml:space="preserve"> Pokud odsouzený zavdal příčinu k rozhodnutí o tom, že se náhradní trest odnětí svobody vykoná, po výkonu poloviny uloženého trestu domácího vězení, soud délku náhradního trestu odnětí svobody stanovenou podle odstavce 1 zkrátí na polovinu.</w:t>
      </w:r>
    </w:p>
    <w:p>
      <w:pPr>
        <w:ind w:left="0" w:right="0"/>
      </w:pPr>
      <w:r>
        <w:rPr>
          <w:b/>
          <w:bCs/>
        </w:rPr>
        <w:t xml:space="preserve">(3)</w:t>
      </w:r>
      <w:r>
        <w:rPr/>
        <w:t xml:space="preserve"> Výjimečně může soud vzhledem k okolnostem případu a osobě odsouzeného ponechat trest domácího vězení v platnosti, i když odsouzený zavdal příčinu k rozhodnutí o výkonu náhradního trestu odnětí svobody,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prodloužit dobu výkonu tohoto trestu až o jeden rok, přičemž nesmí překročit nejvyšší výměru tohoto trestu stanovenou v § 60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dosud neuložené přiměřené omezení nebo přiměřenou povinnost podle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odsouzenému na dobu výkonu trestu nebo jeho zbytku některé z výchovných opatření podle § 60 odst. 7, je-li ve věku blízkém věku mladistvých.</w:t>
      </w:r>
    </w:p>
    <w:p>
      <w:pPr>
        <w:ind w:left="0" w:right="0"/>
      </w:pPr>
      <w:r>
        <w:rPr>
          <w:b/>
          <w:bCs/>
        </w:rPr>
        <w:t xml:space="preserve">(4)</w:t>
      </w:r>
      <w:r>
        <w:rPr/>
        <w:t xml:space="preserve"> Na výkon dohledu se použijí obdobně § 49 až 51.</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3.</w:t>
      </w:r>
    </w:p>
    <w:p>
      <w:pPr>
        <w:ind w:left="0" w:right="0"/>
      </w:pPr>
      <w:r>
        <w:rPr>
          <w:b/>
          <w:bCs/>
        </w:rPr>
        <w:t xml:space="preserve">(3)</w:t>
      </w:r>
      <w:r>
        <w:rPr/>
        <w:t xml:space="preserve">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stanoveného jako den nástupu výkonu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pPr>
        <w:ind w:left="0" w:right="0"/>
      </w:pPr>
      <w:r>
        <w:rPr>
          <w:b/>
          <w:bCs/>
        </w:rPr>
        <w:t xml:space="preserve">(3)</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(4)</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(5)</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 Zástavní práva k propadlému majetku nezanikají.</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3"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 Zástavní práva k propadlé věci nezanikají.</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 Zástavní práva k propadlé náhradní hodnotě nezanikají.</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pPr>
        <w:ind w:left="0" w:right="0"/>
      </w:pPr>
      <w:r>
        <w:rPr>
          <w:b/>
          <w:bCs/>
        </w:rPr>
        <w:t xml:space="preserve">(7)</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pPr>
        <w:pStyle w:val="Heading5"/>
      </w:pPr>
      <w:r>
        <w:rPr>
          <w:b/>
          <w:bCs/>
        </w:rPr>
        <w:t xml:space="preserve">§ 82a</w:t>
      </w:r>
      <w:r>
        <w:rPr>
          <w:rStyle w:val="hidden"/>
        </w:rPr>
        <w:t xml:space="preserve"> -</w:t>
      </w:r>
      <w:br/>
      <w:r>
        <w:rPr/>
        <w:t xml:space="preserve">Zrušení přiměřených omezení, přiměřených povinností a výchovných opatření</w:t>
      </w:r>
    </w:p>
    <w:p>
      <w:pPr>
        <w:ind w:left="0" w:right="0"/>
      </w:pPr>
      <w:r>
        <w:rPr/>
        <w:t xml:space="preserve">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82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82 odst. 2.</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85a</w:t>
      </w:r>
      <w:r>
        <w:rPr>
          <w:rStyle w:val="hidden"/>
        </w:rPr>
        <w:t xml:space="preserve"> -</w:t>
      </w:r>
      <w:br/>
      <w:r>
        <w:rPr/>
        <w:t xml:space="preserve">Zrušení dohledu nebo přiměřených omezení, přiměřených povinností a výchovných opatření</w:t>
      </w:r>
    </w:p>
    <w:p>
      <w:pPr>
        <w:ind w:left="0" w:right="0"/>
      </w:pPr>
      <w:r>
        <w:rPr/>
        <w:t xml:space="preserve">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85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85 odst. 2.</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5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Podmíněně propuštěnému podle § 88 odst. 2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určeném obydlí nebo jeho části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ind w:left="0" w:right="0"/>
      </w:pPr>
      <w:r>
        <w:rPr>
          <w:b/>
          <w:bCs/>
        </w:rPr>
        <w:t xml:space="preserve">(4)</w:t>
      </w:r>
      <w:r>
        <w:rPr/>
        <w:t xml:space="preserve">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vhodnému programu sociálního výcviku a převýchovy nebo psychologického poradenství zaměřeného na činnost, která je předmětem zákazu.</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Na výkon dohledu se použijí obdobně § 49 až 51.</w:t>
      </w:r>
    </w:p>
    <w:p>
      <w:pPr>
        <w:ind w:left="0" w:right="0"/>
      </w:pPr>
      <w:r>
        <w:rPr>
          <w:b/>
          <w:bCs/>
        </w:rPr>
        <w:t xml:space="preserve">(3)</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(4)</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(5)</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(6)</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 zástavní práva k nim nezanikají.</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dat uložených v počítačovém systému nebo na nosiči informací, zásahu do programového nebo technického vybavení počítačového systému nebo provedením jiné operace v počítačovém systému,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136a</w:t>
      </w:r>
      <w:r>
        <w:rPr>
          <w:rStyle w:val="hidden"/>
        </w:rPr>
        <w:t xml:space="preserve"> -</w:t>
      </w:r>
      <w:br/>
      <w:r>
        <w:rPr/>
        <w:t xml:space="preserve">Počítačový systém</w:t>
      </w:r>
    </w:p>
    <w:p>
      <w:pPr>
        <w:ind w:left="0" w:right="0"/>
      </w:pPr>
      <w:r>
        <w:rPr/>
        <w:t xml:space="preserve">Počítačovým systémem se rozumí zařízení anebo skupina vzájemně propojených nebo přidružených zařízení, z nichž jedno nebo více provádí na základě programu automatické zpracování dat. Počítačovým systémem se rozumí i data uložená, zpracovaná, opětovně vyhledaná nebo přenesená tímto zařízením anebo skupinou zařízení za účelem jeho nebo jejich provozu, použití, ochrany a údržby.</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těhotné ženě,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dat do počítačového systému, z něj nebo v jeho rámci, včetně elektromagnetického vyzařování z počítačového systému, přenášejícího taková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dat uložených v počítačovém systému nebo na nosiči informací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3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neoprávněný zásah do počítačového systému nebo nosiče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zasáhne do počítačového systému nebo nosiče informací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nebo přenese data do počítačového systému nebo na nosič informací nebo učiní jiný zásah do programového nebo technického vybavení počítačového systému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proti počítačovému systému, jehož narušení by mělo závažný dopad na fungování státu, zdraví osob, bezpečnost, hospodářství nebo zajištění základních životních potřeb obyvatel,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 k neoprávněnému zásahu do počítačového systému nebo nosiče informací,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w:t>
      </w:r>
    </w:p>
    <w:p>
      <w:pPr>
        <w:ind w:left="0" w:right="0"/>
      </w:pPr>
      <w:r>
        <w:rPr/>
        <w:t xml:space="preserve">v úmyslu, aby jej bylo užito ke spáchání trestného činu porušení tajemství dopravovaných zpráv podle </w:t>
      </w:r>
      <w:r>
        <w:rPr/>
        <w:t xml:space="preserve">§ 182</w:t>
      </w:r>
      <w:r>
        <w:rPr/>
        <w:t xml:space="preserve"> odst. 1 písm. b) nebo c) nebo trestného činu neoprávněného přístupu k počítačovému systému a neoprávněného zásahu do počítačového systému nebo nosiče informací podle </w:t>
      </w:r>
      <w:r>
        <w:rPr/>
        <w:t xml:space="preserve">§ 230</w:t>
      </w:r>
      <w:r>
        <w:rPr/>
        <w:t xml:space="preserve"> odst. 1 nebo 2,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Neoprávněný zásah do počítačového systému nebo nosiče informací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počítačového systému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uživatele opatří, zpřístupní, přijme nebo přechovává platební prostředek, který umožňuje výběr hotovosti nebo převod peněžních prostředků anebo virtuálních aktiv používaných namísto peněžních prostředků (dále jen „platební prostředek“) a který náleží jinému,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 a zařízení určeného k neoprávněnému získání platebního prostředku</w:t>
      </w:r>
    </w:p>
    <w:p>
      <w:pPr>
        <w:ind w:left="0" w:right="0"/>
      </w:pPr>
      <w:r>
        <w:rPr>
          <w:b/>
          <w:bCs/>
        </w:rPr>
        <w:t xml:space="preserve">(1)</w:t>
      </w:r>
      <w:r>
        <w:rPr/>
        <w:t xml:space="preserve"> Kdo vyrobí, uvede do oběhu, doveze, vyveze, proveze,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pozměnění nebo neoprávněnému získání platebního prostředku,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5"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počítačového systému,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počítačového systému,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tiskové publikaci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a zařízení určeného k neoprávněnému získání platebního prostředku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nebo materiálů obdobné povahy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nebo materiálů obdobné povahy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321a</w:t>
      </w:r>
      <w:r>
        <w:rPr>
          <w:rStyle w:val="hidden"/>
        </w:rPr>
        <w:t xml:space="preserve"> -</w:t>
      </w:r>
      <w:br/>
      <w:r>
        <w:rPr/>
        <w:t xml:space="preserve">Účast na nestátní ozbrojené skupině zaměřené na působení v ozbrojeném konfliktu</w:t>
      </w:r>
    </w:p>
    <w:p>
      <w:pPr>
        <w:ind w:left="0" w:right="0"/>
      </w:pPr>
      <w:r>
        <w:rPr/>
        <w:t xml:space="preserve">Kdo se účastní činnosti nestátní ozbrojené skupiny zaměřené na působení v ozbrojeném konfliktu probíhajícím na území jiného státu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zapojí do bojové činnosti takové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informace nebo výcvik týkající se výroby nebo používání výbušnin, zbraní, nebezpečných látek nebo materiálů obdobné povahy anebo jiných obdobných metod nebo technik za účelem spáchání činu uvedeného v písmenu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 informace nebo si osvojí dovednosti týkající se výroby nebo používání výbušnin, zbraní, nebezpečných látek nebo materiálů obdobné povahy anebo jiných obdobných metod nebo technik za účelem spáchání činu uvedeného v písmenu a) nebo b),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cestuje do jiného státu nebo do České republiky za účelem spáchání činu uvedeného v písmenu a), b) nebo c),</w:t>
      </w:r>
    </w:p>
    <w:p>
      <w:pPr>
        <w:ind w:left="0" w:right="0"/>
      </w:pPr>
      <w:r>
        <w:rPr/>
        <w:t xml:space="preserve">bude potrestán odnětím svobody až na pět let.</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403a</w:t>
      </w:r>
      <w:r>
        <w:rPr>
          <w:rStyle w:val="hidden"/>
        </w:rPr>
        <w:t xml:space="preserve"> -</w:t>
      </w:r>
      <w:br/>
      <w:r>
        <w:rPr/>
        <w:t xml:space="preserve">Šíření díla k propagaci hnutí směřujícího k potlačení práv a svobod člověka</w:t>
      </w:r>
    </w:p>
    <w:p>
      <w:pPr>
        <w:ind w:left="0" w:right="0"/>
      </w:pPr>
      <w:r>
        <w:rPr>
          <w:b/>
          <w:bCs/>
        </w:rPr>
        <w:t xml:space="preserve">(1)</w:t>
      </w:r>
      <w:r>
        <w:rPr/>
        <w:t xml:space="preserve">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 403 odst. 1, bude potrestán odnětím svobody až na tři léta, peněžitým trestem nebo propadnutím věci.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(3)</w:t>
      </w:r>
      <w:r>
        <w:rPr/>
        <w:t xml:space="preserve"> Odnětím svobody na dvě léta až šest let nebo peněžitým trestem bude pachatel potrestán, spáchá-li čin uvedený v odstavci 1 v úmyslu získat pro sebe nebo pro jiného prospěch velkého rozsahu.</w:t>
      </w:r>
    </w:p>
    <w:p>
      <w:pPr>
        <w:pStyle w:val="Heading4"/>
      </w:pPr>
      <w:r>
        <w:rPr>
          <w:b/>
          <w:bCs/>
        </w:rPr>
        <w:t xml:space="preserve">§ 403b</w:t>
      </w:r>
      <w:r>
        <w:rPr>
          <w:rStyle w:val="hidden"/>
        </w:rPr>
        <w:t xml:space="preserve"> -</w:t>
      </w:r>
      <w:br/>
      <w:r>
        <w:rPr/>
        <w:t xml:space="preserve">Zvláštní ustanovení o beztrestnosti</w:t>
      </w:r>
    </w:p>
    <w:p>
      <w:pPr>
        <w:ind w:left="0" w:right="0"/>
      </w:pPr>
      <w:r>
        <w:rPr/>
        <w:t xml:space="preserve">Podle § 403a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a svobod, boje proti terorismu, dodržování mezinárodního práva, podpory demokracie a právního státu, k jejichž dodržování je Česká republika zavázána ze svého členství v Organizaci spojených národů nebo v Evropské unii anebo které zavedla Česká republika podle sankčního zákona,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a svobod, boje proti terorismu, dodržování mezinárodního práva nebo podpory demokracie a právního státu.</w:t>
      </w:r>
      <w:hyperlink r:id="rId16" w:history="1">
        <w:r>
          <w:rPr>
            <w:color w:val="darkblue"/>
            <w:u w:val="single"/>
          </w:rPr>
          <w:t xml:space="preserve"/>
        </w:r>
      </w:hyperlink>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53/1963 Sb.</w:t>
        </w:r>
      </w:hyperlink>
      <w:r>
        <w:rPr/>
        <w:t xml:space="preserve">, kterým se mění </w:t>
      </w:r>
      <w:hyperlink r:id="rId19"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148/1969 Sb.</w:t>
        </w:r>
      </w:hyperlink>
      <w:r>
        <w:rPr/>
        <w:t xml:space="preserve">, kterým se mění a doplňuje trestní zákon, ve znění zákona č. </w:t>
      </w:r>
      <w:hyperlink r:id="rId22"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2" w:history="1">
        <w:r>
          <w:rPr>
            <w:color w:val="darkblue"/>
            <w:u w:val="single"/>
          </w:rPr>
          <w:t xml:space="preserve">45/1973 Sb.</w:t>
        </w:r>
      </w:hyperlink>
      <w:r>
        <w:rPr/>
        <w:t xml:space="preserve">, kterým se mění a doplňuje trestní zákon, ve znění zákona č. </w:t>
      </w:r>
      <w:hyperlink r:id="rId23" w:history="1">
        <w:r>
          <w:rPr>
            <w:color w:val="darkblue"/>
            <w:u w:val="single"/>
          </w:rPr>
          <w:t xml:space="preserve">175/1990 Sb.</w:t>
        </w:r>
      </w:hyperlink>
      <w:r>
        <w:rPr/>
        <w:t xml:space="preserve">, a zákona č. </w:t>
      </w:r>
      <w:hyperlink r:id="rId24"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3" w:history="1">
        <w:r>
          <w:rPr>
            <w:color w:val="darkblue"/>
            <w:u w:val="single"/>
          </w:rPr>
          <w:t xml:space="preserve">175/1990 Sb.</w:t>
        </w:r>
      </w:hyperlink>
      <w:r>
        <w:rPr/>
        <w:t xml:space="preserve">, kterým se mění a doplňuje trestní zákon, ve znění zákona č. </w:t>
      </w:r>
      <w:hyperlink r:id="rId25"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6"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7"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8" w:history="1">
        <w:r>
          <w:rPr>
            <w:color w:val="darkblue"/>
            <w:u w:val="single"/>
          </w:rPr>
          <w:t xml:space="preserve">253/1997 Sb.</w:t>
        </w:r>
      </w:hyperlink>
      <w:r>
        <w:rPr/>
        <w:t xml:space="preserve">, kterým se mění a doplňuje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9" w:history="1">
        <w:r>
          <w:rPr>
            <w:color w:val="darkblue"/>
            <w:u w:val="single"/>
          </w:rPr>
          <w:t xml:space="preserve">92/1998 Sb.</w:t>
        </w:r>
      </w:hyperlink>
      <w:r>
        <w:rPr/>
        <w:t xml:space="preserve">, kterým se mění a doplňuje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30" w:history="1">
        <w:r>
          <w:rPr>
            <w:color w:val="darkblue"/>
            <w:u w:val="single"/>
          </w:rPr>
          <w:t xml:space="preserve">96/1999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31" w:history="1">
        <w:r>
          <w:rPr>
            <w:color w:val="darkblue"/>
            <w:u w:val="single"/>
          </w:rPr>
          <w:t xml:space="preserve">327/1999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2" w:history="1">
        <w:r>
          <w:rPr>
            <w:color w:val="darkblue"/>
            <w:u w:val="single"/>
          </w:rPr>
          <w:t xml:space="preserve">405/2000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3" w:history="1">
        <w:r>
          <w:rPr>
            <w:color w:val="darkblue"/>
            <w:u w:val="single"/>
          </w:rPr>
          <w:t xml:space="preserve">139/2001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4" w:history="1">
        <w:r>
          <w:rPr>
            <w:color w:val="darkblue"/>
            <w:u w:val="single"/>
          </w:rPr>
          <w:t xml:space="preserve">134/2002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5" w:history="1">
        <w:r>
          <w:rPr>
            <w:color w:val="darkblue"/>
            <w:u w:val="single"/>
          </w:rPr>
          <w:t xml:space="preserve">91/2004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6" w:history="1">
        <w:r>
          <w:rPr>
            <w:color w:val="darkblue"/>
            <w:u w:val="single"/>
          </w:rPr>
          <w:t xml:space="preserve">692/2004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7" w:history="1">
        <w:r>
          <w:rPr>
            <w:color w:val="darkblue"/>
            <w:u w:val="single"/>
          </w:rPr>
          <w:t xml:space="preserve">320/2006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8" w:history="1">
        <w:r>
          <w:rPr>
            <w:color w:val="darkblue"/>
            <w:u w:val="single"/>
          </w:rPr>
          <w:t xml:space="preserve">343/2006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9" w:history="1">
        <w:r>
          <w:rPr>
            <w:color w:val="darkblue"/>
            <w:u w:val="single"/>
          </w:rPr>
          <w:t xml:space="preserve">271/2007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0" w:history="1">
        <w:r>
          <w:rPr>
            <w:color w:val="darkblue"/>
            <w:u w:val="single"/>
          </w:rPr>
          <w:t xml:space="preserve">165/1950 Sb.</w:t>
        </w:r>
      </w:hyperlink>
      <w:r>
        <w:rPr/>
        <w:t xml:space="preserve">, na ochranu míru, ve znění zákona č. </w:t>
      </w:r>
      <w:hyperlink r:id="rId17"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41" w:history="1">
        <w:r>
          <w:rPr>
            <w:color w:val="darkblue"/>
            <w:u w:val="single"/>
          </w:rPr>
          <w:t xml:space="preserve">120/1962 Sb.</w:t>
        </w:r>
      </w:hyperlink>
      <w:r>
        <w:rPr/>
        <w:t xml:space="preserve">, o boji proti alkoholismu, ve znění zákona č. </w:t>
      </w:r>
      <w:hyperlink r:id="rId42"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3"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4"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5" w:history="1">
        <w:r>
          <w:rPr>
            <w:color w:val="darkblue"/>
            <w:u w:val="single"/>
          </w:rPr>
          <w:t xml:space="preserve">10/1999 Sb.</w:t>
        </w:r>
      </w:hyperlink>
      <w:r>
        <w:rPr/>
        <w:t xml:space="preserve">, kterým se zrušuje nařízení vlády č. </w:t>
      </w:r>
      <w:hyperlink r:id="rId46"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7"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7"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8" w:history="1">
        <w:r>
          <w:rPr>
            <w:color w:val="darkblue"/>
            <w:u w:val="single"/>
          </w:rPr>
          <w:t xml:space="preserve">40/2002 Sb.</w:t>
        </w:r>
      </w:hyperlink>
      <w:r>
        <w:rPr/>
        <w:t xml:space="preserve">, a nařízení vlády č. </w:t>
      </w:r>
      <w:hyperlink r:id="rId49"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50"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51" w:history="1">
        <w:r>
          <w:rPr>
            <w:color w:val="darkblue"/>
            <w:u w:val="single"/>
          </w:rPr>
          <w:t xml:space="preserve">2002/629/SVV.</w:t>
        </w:r>
      </w:hyperlink>
    </w:p>
    <w:p>
      <w:pPr>
        <w:ind w:left="560" w:right="0"/>
      </w:pPr>
      <w:r>
        <w:rPr>
          <w:sz w:val="19.200000000000003"/>
          <w:szCs w:val="19.200000000000003"/>
        </w:rPr>
        <w:t xml:space="preserve">Směrnice Evropského parlamentu a Rady </w:t>
      </w:r>
      <w:hyperlink r:id="rId52" w:history="1">
        <w:r>
          <w:rPr>
            <w:color w:val="darkblue"/>
            <w:u w:val="single"/>
          </w:rPr>
          <w:t xml:space="preserve">2011/93/EU</w:t>
        </w:r>
      </w:hyperlink>
      <w:r>
        <w:rPr>
          <w:sz w:val="19.200000000000003"/>
          <w:szCs w:val="19.200000000000003"/>
        </w:rPr>
        <w:t xml:space="preserve"> ze dne 13. prosince 2011 o boji proti pohlavnímu zneužívání a pohlavnímu vykořisťování dětí a proti dětské pornografii, kterou se nahrazuje rámcové rozhodnutí Rady </w:t>
      </w:r>
      <w:hyperlink r:id="rId53" w:history="1">
        <w:r>
          <w:rPr>
            <w:color w:val="darkblue"/>
            <w:u w:val="single"/>
          </w:rPr>
          <w:t xml:space="preserve">2004/68/SVV.</w:t>
        </w:r>
      </w:hyperlink>
    </w:p>
    <w:p>
      <w:pPr>
        <w:ind w:left="560" w:right="0"/>
      </w:pPr>
      <w:r>
        <w:rPr>
          <w:sz w:val="19.200000000000003"/>
          <w:szCs w:val="19.200000000000003"/>
        </w:rPr>
        <w:t xml:space="preserve">Směrnice Evropského parlamentu a Rady </w:t>
      </w:r>
      <w:hyperlink r:id="rId5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5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56" w:history="1">
        <w:r>
          <w:rPr>
            <w:color w:val="darkblue"/>
            <w:u w:val="single"/>
          </w:rPr>
          <w:t xml:space="preserve">2009/123/ES</w:t>
        </w:r>
      </w:hyperlink>
      <w:r>
        <w:rPr>
          <w:sz w:val="19.200000000000003"/>
          <w:szCs w:val="19.200000000000003"/>
        </w:rPr>
        <w:t xml:space="preserve"> ze dne 21. října 2009, kterou se mění směrnice </w:t>
      </w:r>
      <w:hyperlink r:id="rId5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6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61" w:history="1">
        <w:r>
          <w:rPr>
            <w:color w:val="darkblue"/>
            <w:u w:val="single"/>
          </w:rPr>
          <w:t xml:space="preserve">(EHS) č. 1612/68</w:t>
        </w:r>
      </w:hyperlink>
      <w:r>
        <w:rPr>
          <w:sz w:val="19.200000000000003"/>
          <w:szCs w:val="19.200000000000003"/>
        </w:rPr>
        <w:t xml:space="preserve"> a o zrušení směrnic </w:t>
      </w:r>
      <w:hyperlink r:id="rId62" w:history="1">
        <w:r>
          <w:rPr>
            <w:color w:val="darkblue"/>
            <w:u w:val="single"/>
          </w:rPr>
          <w:t xml:space="preserve">64/221/EHS</w:t>
        </w:r>
      </w:hyperlink>
      <w:r>
        <w:rPr>
          <w:sz w:val="19.200000000000003"/>
          <w:szCs w:val="19.200000000000003"/>
        </w:rPr>
        <w:t xml:space="preserve"> , </w:t>
      </w:r>
      <w:hyperlink r:id="rId63" w:history="1">
        <w:r>
          <w:rPr>
            <w:color w:val="darkblue"/>
            <w:u w:val="single"/>
          </w:rPr>
          <w:t xml:space="preserve">68/360/EHS</w:t>
        </w:r>
      </w:hyperlink>
      <w:r>
        <w:rPr>
          <w:sz w:val="19.200000000000003"/>
          <w:szCs w:val="19.200000000000003"/>
        </w:rPr>
        <w:t xml:space="preserve"> , </w:t>
      </w:r>
      <w:hyperlink r:id="rId64" w:history="1">
        <w:r>
          <w:rPr>
            <w:color w:val="darkblue"/>
            <w:u w:val="single"/>
          </w:rPr>
          <w:t xml:space="preserve">72/194/EHS</w:t>
        </w:r>
      </w:hyperlink>
      <w:r>
        <w:rPr>
          <w:sz w:val="19.200000000000003"/>
          <w:szCs w:val="19.200000000000003"/>
        </w:rPr>
        <w:t xml:space="preserve"> , </w:t>
      </w:r>
      <w:hyperlink r:id="rId65" w:history="1">
        <w:r>
          <w:rPr>
            <w:color w:val="darkblue"/>
            <w:u w:val="single"/>
          </w:rPr>
          <w:t xml:space="preserve">73/148/EHS</w:t>
        </w:r>
      </w:hyperlink>
      <w:r>
        <w:rPr>
          <w:sz w:val="19.200000000000003"/>
          <w:szCs w:val="19.200000000000003"/>
        </w:rPr>
        <w:t xml:space="preserve"> , </w:t>
      </w:r>
      <w:hyperlink r:id="rId66" w:history="1">
        <w:r>
          <w:rPr>
            <w:color w:val="darkblue"/>
            <w:u w:val="single"/>
          </w:rPr>
          <w:t xml:space="preserve">75/34/EHS</w:t>
        </w:r>
      </w:hyperlink>
      <w:r>
        <w:rPr>
          <w:sz w:val="19.200000000000003"/>
          <w:szCs w:val="19.200000000000003"/>
        </w:rPr>
        <w:t xml:space="preserve"> , </w:t>
      </w:r>
      <w:hyperlink r:id="rId67" w:history="1">
        <w:r>
          <w:rPr>
            <w:color w:val="darkblue"/>
            <w:u w:val="single"/>
          </w:rPr>
          <w:t xml:space="preserve">75/35/EHS</w:t>
        </w:r>
      </w:hyperlink>
      <w:r>
        <w:rPr>
          <w:sz w:val="19.200000000000003"/>
          <w:szCs w:val="19.200000000000003"/>
        </w:rPr>
        <w:t xml:space="preserve"> , </w:t>
      </w:r>
      <w:hyperlink r:id="rId68" w:history="1">
        <w:r>
          <w:rPr>
            <w:color w:val="darkblue"/>
            <w:u w:val="single"/>
          </w:rPr>
          <w:t xml:space="preserve">90/364/EHS</w:t>
        </w:r>
      </w:hyperlink>
      <w:r>
        <w:rPr>
          <w:sz w:val="19.200000000000003"/>
          <w:szCs w:val="19.200000000000003"/>
        </w:rPr>
        <w:t xml:space="preserve"> , </w:t>
      </w:r>
      <w:hyperlink r:id="rId69" w:history="1">
        <w:r>
          <w:rPr>
            <w:color w:val="darkblue"/>
            <w:u w:val="single"/>
          </w:rPr>
          <w:t xml:space="preserve">90/365/EHS</w:t>
        </w:r>
      </w:hyperlink>
      <w:r>
        <w:rPr>
          <w:sz w:val="19.200000000000003"/>
          <w:szCs w:val="19.200000000000003"/>
        </w:rPr>
        <w:t xml:space="preserve"> a </w:t>
      </w:r>
      <w:hyperlink r:id="rId7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7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7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7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74"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75"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76"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77"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78"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9"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80"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ind w:left="560" w:right="0"/>
      </w:pPr>
      <w:r>
        <w:rPr>
          <w:sz w:val="19.200000000000003"/>
          <w:szCs w:val="19.200000000000003"/>
        </w:rPr>
        <w:t xml:space="preserve">Směrnice Evropského parlamentu a Rady </w:t>
      </w:r>
      <w:hyperlink r:id="rId81" w:history="1">
        <w:r>
          <w:rPr>
            <w:color w:val="darkblue"/>
            <w:u w:val="single"/>
          </w:rPr>
          <w:t xml:space="preserve">(EU) 2019/713</w:t>
        </w:r>
      </w:hyperlink>
      <w:r>
        <w:rPr>
          <w:sz w:val="19.200000000000003"/>
          <w:szCs w:val="19.200000000000003"/>
        </w:rPr>
        <w:t xml:space="preserve"> ze dne 17. dubna 2019 o potírání podvodů v oblasti bezhotovostních platebních prostředků a jejich padělání a o nahrazení rámcového rozhodnutí Rady </w:t>
      </w:r>
      <w:hyperlink r:id="rId82" w:history="1">
        <w:r>
          <w:rPr>
            <w:color w:val="darkblue"/>
            <w:u w:val="single"/>
          </w:rPr>
          <w:t xml:space="preserve">2001/413/SVV</w:t>
        </w:r>
      </w:hyperlink>
      <w:r>
        <w:rPr>
          <w:sz w:val="19.200000000000003"/>
          <w:szCs w:val="19.200000000000003"/>
        </w:rPr>
        <w:t xml:space="preserve">.</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8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8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83"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83" w:history="1">
        <w:r>
          <w:rPr>
            <w:color w:val="darkblue"/>
            <w:u w:val="single"/>
          </w:rPr>
          <w:t xml:space="preserve">40/2009 Sb.</w:t>
        </w:r>
      </w:hyperlink>
      <w:r>
        <w:rPr/>
        <w:t xml:space="preserve">, ve znění účinném do dne nabytí účinnosti tohoto zákona.</w:t>
      </w:r>
    </w:p>
    <w:p>
      <w:pPr>
        <w:pStyle w:val="Heading1"/>
      </w:pPr>
      <w:r>
        <w:rPr>
          <w:b/>
          <w:bCs/>
        </w:rPr>
        <w:t xml:space="preserve">ČÁST ČTRNÁCTÁ (ČI. XV) zákona č. 220/2021 Sb. zní:</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1. ledna 2022,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čl. I bodu 10, čl. III bodů 2 až 4 a 47 až 50, čl. V bodů 1 a 2, čl. VII bodů 2 a 4 až 6 a čl. XIV, která nabývají účinnosti dnem 1. července 2021,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ustanovení čl. I bodů 15, 20, 21, 27, 40, 46, 47 a 53, čl. III bodů 20, 40, 41, 43 a 44 a čl. VIII bodů 8, 9 a 15, která nabývají účinnosti dnem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čl. VIII bodu 9, pokud jde o § 102d odst. 8, pozbývá platnosti dnem 1. srpna 2023.</w:t>
      </w:r>
    </w:p>
    <w:sectPr>
      <w:headerReference w:type="default" r:id="rId84"/>
      <w:footerReference w:type="default" r:id="rId8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429/2022 Sb. z </w:t>
          </w:r>
          <w:r>
            <w:rPr>
              <w:rStyle w:val="bold"/>
            </w:rPr>
            <w:t xml:space="preserve">5. 1. 2023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C01_H05_D002_OD001_P043" TargetMode="External"/><Relationship Id="rId12" Type="http://schemas.openxmlformats.org/officeDocument/2006/relationships/hyperlink" Target="https://esipa.cz/sbirka/sbsrv.dll/sb?DR=SB&amp;CP=2021s220" TargetMode="External"/><Relationship Id="rId13" Type="http://schemas.openxmlformats.org/officeDocument/2006/relationships/hyperlink" Target="https://esipa.cz/sbirka/sbsrv.dll/sb?DR=SB&amp;CP=2020s333" TargetMode="External"/><Relationship Id="rId14" Type="http://schemas.openxmlformats.org/officeDocument/2006/relationships/hyperlink" Target="https://esipa.cz/sbirka/sbsrv.dll/sb?DR=SB&amp;CP=2018s287" TargetMode="External"/><Relationship Id="rId15" Type="http://schemas.openxmlformats.org/officeDocument/2006/relationships/hyperlink" Target="https://esipa.cz/sbirka/sbsrv.dll/_Hlk490660252" TargetMode="External"/><Relationship Id="rId16" Type="http://schemas.openxmlformats.org/officeDocument/2006/relationships/hyperlink" Target="https://esipa.cz/sbirka/sbsrv.dll/C02_H13_D002_P411" TargetMode="External"/><Relationship Id="rId17" Type="http://schemas.openxmlformats.org/officeDocument/2006/relationships/hyperlink" Target="https://esipa.cz/sbirka/sbsrv.dll/sb?DR=SB&amp;CP=1961s140" TargetMode="External"/><Relationship Id="rId18" Type="http://schemas.openxmlformats.org/officeDocument/2006/relationships/hyperlink" Target="https://esipa.cz/sbirka/sbsrv.dll/sb?DR=SB&amp;CP=1963s053" TargetMode="External"/><Relationship Id="rId19" Type="http://schemas.openxmlformats.org/officeDocument/2006/relationships/hyperlink" Target="https://esipa.cz/sbirka/sbsrv.dll/sb?DR=SB&amp;CP=1961s140#C02_H05_P203" TargetMode="External"/><Relationship Id="rId20" Type="http://schemas.openxmlformats.org/officeDocument/2006/relationships/hyperlink" Target="https://esipa.cz/sbirka/sbsrv.dll/sb?DR=SB&amp;CP=1965s056" TargetMode="External"/><Relationship Id="rId21" Type="http://schemas.openxmlformats.org/officeDocument/2006/relationships/hyperlink" Target="https://esipa.cz/sbirka/sbsrv.dll/sb?DR=SB&amp;CP=1969s148" TargetMode="External"/><Relationship Id="rId22" Type="http://schemas.openxmlformats.org/officeDocument/2006/relationships/hyperlink" Target="https://esipa.cz/sbirka/sbsrv.dll/sb?DR=SB&amp;CP=1973s045" TargetMode="External"/><Relationship Id="rId23" Type="http://schemas.openxmlformats.org/officeDocument/2006/relationships/hyperlink" Target="https://esipa.cz/sbirka/sbsrv.dll/sb?DR=SB&amp;CP=1990s175" TargetMode="External"/><Relationship Id="rId24" Type="http://schemas.openxmlformats.org/officeDocument/2006/relationships/hyperlink" Target="https://esipa.cz/sbirka/sbsrv.dll/sb?DR=SB&amp;CP=1993s290" TargetMode="External"/><Relationship Id="rId25" Type="http://schemas.openxmlformats.org/officeDocument/2006/relationships/hyperlink" Target="https://esipa.cz/sbirka/sbsrv.dll/sb?DR=SB&amp;CP=2001s265" TargetMode="External"/><Relationship Id="rId26" Type="http://schemas.openxmlformats.org/officeDocument/2006/relationships/hyperlink" Target="https://esipa.cz/sbirka/sbsrv.dll/sb?DR=SB&amp;CP=1990s545" TargetMode="External"/><Relationship Id="rId27" Type="http://schemas.openxmlformats.org/officeDocument/2006/relationships/hyperlink" Target="https://esipa.cz/sbirka/sbsrv.dll/sb?DR=SB&amp;CP=1991s557" TargetMode="External"/><Relationship Id="rId28" Type="http://schemas.openxmlformats.org/officeDocument/2006/relationships/hyperlink" Target="https://esipa.cz/sbirka/sbsrv.dll/sb?DR=SB&amp;CP=1997s253" TargetMode="External"/><Relationship Id="rId29" Type="http://schemas.openxmlformats.org/officeDocument/2006/relationships/hyperlink" Target="https://esipa.cz/sbirka/sbsrv.dll/sb?DR=SB&amp;CP=1998s092" TargetMode="External"/><Relationship Id="rId30" Type="http://schemas.openxmlformats.org/officeDocument/2006/relationships/hyperlink" Target="https://esipa.cz/sbirka/sbsrv.dll/sb?DR=SB&amp;CP=1999s096" TargetMode="External"/><Relationship Id="rId31" Type="http://schemas.openxmlformats.org/officeDocument/2006/relationships/hyperlink" Target="https://esipa.cz/sbirka/sbsrv.dll/sb?DR=SB&amp;CP=1999s327" TargetMode="External"/><Relationship Id="rId32" Type="http://schemas.openxmlformats.org/officeDocument/2006/relationships/hyperlink" Target="https://esipa.cz/sbirka/sbsrv.dll/sb?DR=SB&amp;CP=2000s405" TargetMode="External"/><Relationship Id="rId33" Type="http://schemas.openxmlformats.org/officeDocument/2006/relationships/hyperlink" Target="https://esipa.cz/sbirka/sbsrv.dll/sb?DR=SB&amp;CP=2001s139" TargetMode="External"/><Relationship Id="rId34" Type="http://schemas.openxmlformats.org/officeDocument/2006/relationships/hyperlink" Target="https://esipa.cz/sbirka/sbsrv.dll/sb?DR=SB&amp;CP=2002s134" TargetMode="External"/><Relationship Id="rId35" Type="http://schemas.openxmlformats.org/officeDocument/2006/relationships/hyperlink" Target="https://esipa.cz/sbirka/sbsrv.dll/sb?DR=SB&amp;CP=2004s091" TargetMode="External"/><Relationship Id="rId36" Type="http://schemas.openxmlformats.org/officeDocument/2006/relationships/hyperlink" Target="https://esipa.cz/sbirka/sbsrv.dll/sb?DR=SB&amp;CP=2004s692" TargetMode="External"/><Relationship Id="rId37" Type="http://schemas.openxmlformats.org/officeDocument/2006/relationships/hyperlink" Target="https://esipa.cz/sbirka/sbsrv.dll/sb?DR=SB&amp;CP=2006s320" TargetMode="External"/><Relationship Id="rId38" Type="http://schemas.openxmlformats.org/officeDocument/2006/relationships/hyperlink" Target="https://esipa.cz/sbirka/sbsrv.dll/sb?DR=SB&amp;CP=2006s343" TargetMode="External"/><Relationship Id="rId39" Type="http://schemas.openxmlformats.org/officeDocument/2006/relationships/hyperlink" Target="https://esipa.cz/sbirka/sbsrv.dll/sb?DR=SB&amp;CP=2007s271" TargetMode="External"/><Relationship Id="rId40" Type="http://schemas.openxmlformats.org/officeDocument/2006/relationships/hyperlink" Target="https://esipa.cz/sbirka/sbsrv.dll/sb?DR=SB&amp;CP=1950s165" TargetMode="External"/><Relationship Id="rId41" Type="http://schemas.openxmlformats.org/officeDocument/2006/relationships/hyperlink" Target="https://esipa.cz/sbirka/sbsrv.dll/sb?DR=SB&amp;CP=1962s120" TargetMode="External"/><Relationship Id="rId42" Type="http://schemas.openxmlformats.org/officeDocument/2006/relationships/hyperlink" Target="https://esipa.cz/sbirka/sbsrv.dll/sb?DR=SB&amp;CP=1989s037" TargetMode="External"/><Relationship Id="rId43" Type="http://schemas.openxmlformats.org/officeDocument/2006/relationships/hyperlink" Target="https://esipa.cz/sbirka/sbsrv.dll/sb?DR=SB&amp;CP=2002s482" TargetMode="External"/><Relationship Id="rId44" Type="http://schemas.openxmlformats.org/officeDocument/2006/relationships/hyperlink" Target="https://esipa.cz/sbirka/sbsrv.dll/sb?DR=SB&amp;CP=1997s072" TargetMode="External"/><Relationship Id="rId45" Type="http://schemas.openxmlformats.org/officeDocument/2006/relationships/hyperlink" Target="https://esipa.cz/sbirka/sbsrv.dll/sb?DR=SB&amp;CP=1999s010" TargetMode="External"/><Relationship Id="rId46" Type="http://schemas.openxmlformats.org/officeDocument/2006/relationships/hyperlink" Target="https://esipa.cz/sbirka/sbsrv.dll/sb?DR=SB&amp;CP=1988s192" TargetMode="External"/><Relationship Id="rId47" Type="http://schemas.openxmlformats.org/officeDocument/2006/relationships/hyperlink" Target="https://esipa.cz/sbirka/sbsrv.dll/sb?DR=SB&amp;CP=1999s114" TargetMode="External"/><Relationship Id="rId48" Type="http://schemas.openxmlformats.org/officeDocument/2006/relationships/hyperlink" Target="https://esipa.cz/sbirka/sbsrv.dll/sb?DR=SB&amp;CP=2002s040" TargetMode="External"/><Relationship Id="rId49" Type="http://schemas.openxmlformats.org/officeDocument/2006/relationships/hyperlink" Target="https://esipa.cz/sbirka/sbsrv.dll/sb?DR=SB&amp;CP=2003s444" TargetMode="External"/><Relationship Id="rId50" Type="http://schemas.openxmlformats.org/officeDocument/2006/relationships/hyperlink" Target="https://esipa.cz/sbirka/sbsrv.dll/sb?DR=SB&amp;CP=32011L0036" TargetMode="External"/><Relationship Id="rId51" Type="http://schemas.openxmlformats.org/officeDocument/2006/relationships/hyperlink" Target="https://esipa.cz/sbirka/sbsrv.dll/sb?DR=SB&amp;CP=32002F0629" TargetMode="External"/><Relationship Id="rId52" Type="http://schemas.openxmlformats.org/officeDocument/2006/relationships/hyperlink" Target="https://esipa.cz/sbirka/sbsrv.dll/sb?DR=SB&amp;CP=32011L0093" TargetMode="External"/><Relationship Id="rId53" Type="http://schemas.openxmlformats.org/officeDocument/2006/relationships/hyperlink" Target="https://esipa.cz/sbirka/sbsrv.dll/sb?DR=SB&amp;CP=32004F0068" TargetMode="External"/><Relationship Id="rId54" Type="http://schemas.openxmlformats.org/officeDocument/2006/relationships/hyperlink" Target="https://esipa.cz/sbirka/sbsrv.dll/sb?DR=SB&amp;CP=32005L0060" TargetMode="External"/><Relationship Id="rId55" Type="http://schemas.openxmlformats.org/officeDocument/2006/relationships/hyperlink" Target="https://esipa.cz/sbirka/sbsrv.dll/sb?DR=SB&amp;CP=32008L0099" TargetMode="External"/><Relationship Id="rId56" Type="http://schemas.openxmlformats.org/officeDocument/2006/relationships/hyperlink" Target="https://esipa.cz/sbirka/sbsrv.dll/sb?DR=SB&amp;CP=32009L0123" TargetMode="External"/><Relationship Id="rId57" Type="http://schemas.openxmlformats.org/officeDocument/2006/relationships/hyperlink" Target="https://esipa.cz/sbirka/sbsrv.dll/sb?DR=SB&amp;CP=32005L0035" TargetMode="External"/><Relationship Id="rId58" Type="http://schemas.openxmlformats.org/officeDocument/2006/relationships/hyperlink" Target="https://esipa.cz/sbirka/sbsrv.dll/sb?DR=SB&amp;CP=32004L0081" TargetMode="External"/><Relationship Id="rId59" Type="http://schemas.openxmlformats.org/officeDocument/2006/relationships/hyperlink" Target="http://eur-lex.europa.eu/LexUriServ/LexUriServ.do?uri=OJ:L:2009:168:0024:01" TargetMode="External"/><Relationship Id="rId60" Type="http://schemas.openxmlformats.org/officeDocument/2006/relationships/hyperlink" Target="https://esipa.cz/sbirka/sbsrv.dll/sb?DR=SB&amp;CP=32004L0038" TargetMode="External"/><Relationship Id="rId61" Type="http://schemas.openxmlformats.org/officeDocument/2006/relationships/hyperlink" Target="https://esipa.cz/sbirka/sbsrv.dll/sb?DR=SB&amp;CP=31968R1612" TargetMode="External"/><Relationship Id="rId62" Type="http://schemas.openxmlformats.org/officeDocument/2006/relationships/hyperlink" Target="https://esipa.cz/sbirka/sbsrv.dll/sb?DR=SB&amp;CP=31964L0221" TargetMode="External"/><Relationship Id="rId63" Type="http://schemas.openxmlformats.org/officeDocument/2006/relationships/hyperlink" Target="https://esipa.cz/sbirka/sbsrv.dll/sb?DR=SB&amp;CP=31968L0360" TargetMode="External"/><Relationship Id="rId64" Type="http://schemas.openxmlformats.org/officeDocument/2006/relationships/hyperlink" Target="https://esipa.cz/sbirka/sbsrv.dll/sb?DR=SB&amp;CP=31972L0194" TargetMode="External"/><Relationship Id="rId65" Type="http://schemas.openxmlformats.org/officeDocument/2006/relationships/hyperlink" Target="https://esipa.cz/sbirka/sbsrv.dll/sb?DR=SB&amp;CP=31973L0148" TargetMode="External"/><Relationship Id="rId66" Type="http://schemas.openxmlformats.org/officeDocument/2006/relationships/hyperlink" Target="https://esipa.cz/sbirka/sbsrv.dll/sb?DR=SB&amp;CP=31975L0034" TargetMode="External"/><Relationship Id="rId67" Type="http://schemas.openxmlformats.org/officeDocument/2006/relationships/hyperlink" Target="https://esipa.cz/sbirka/sbsrv.dll/sb?DR=SB&amp;CP=31975L0035" TargetMode="External"/><Relationship Id="rId68" Type="http://schemas.openxmlformats.org/officeDocument/2006/relationships/hyperlink" Target="https://esipa.cz/sbirka/sbsrv.dll/sb?DR=SB&amp;CP=31990L0364" TargetMode="External"/><Relationship Id="rId69" Type="http://schemas.openxmlformats.org/officeDocument/2006/relationships/hyperlink" Target="https://esipa.cz/sbirka/sbsrv.dll/sb?DR=SB&amp;CP=31990L0365" TargetMode="External"/><Relationship Id="rId70" Type="http://schemas.openxmlformats.org/officeDocument/2006/relationships/hyperlink" Target="https://esipa.cz/sbirka/sbsrv.dll/sb?DR=SB&amp;CP=31993L0096" TargetMode="External"/><Relationship Id="rId71" Type="http://schemas.openxmlformats.org/officeDocument/2006/relationships/hyperlink" Target="https://esipa.cz/sbirka/sbsrv.dll/sb?DR=SB&amp;CP=32013L0040" TargetMode="External"/><Relationship Id="rId72" Type="http://schemas.openxmlformats.org/officeDocument/2006/relationships/hyperlink" Target="https://esipa.cz/sbirka/sbsrv.dll/sb?DR=SB&amp;CP=32005F0222" TargetMode="External"/><Relationship Id="rId73" Type="http://schemas.openxmlformats.org/officeDocument/2006/relationships/hyperlink" Target="https://esipa.cz/sbirka/sbsrv.dll/sb?DR=SB&amp;CP=32014L0042" TargetMode="External"/><Relationship Id="rId74" Type="http://schemas.openxmlformats.org/officeDocument/2006/relationships/hyperlink" Target="https://esipa.cz/sbirka/sbsrv.dll/sb?DR=SB&amp;CP=32014L0057" TargetMode="External"/><Relationship Id="rId75" Type="http://schemas.openxmlformats.org/officeDocument/2006/relationships/hyperlink" Target="https://esipa.cz/sbirka/sbsrv.dll/sb?DR=SB&amp;CP=32017L0541" TargetMode="External"/><Relationship Id="rId76" Type="http://schemas.openxmlformats.org/officeDocument/2006/relationships/hyperlink" Target="https://esipa.cz/sbirka/sbsrv.dll/sb?DR=SB&amp;CP=32002F0475" TargetMode="External"/><Relationship Id="rId77" Type="http://schemas.openxmlformats.org/officeDocument/2006/relationships/hyperlink" Target="https://esipa.cz/sbirka/sbsrv.dll/sb?DR=SB&amp;CP=32014L0062" TargetMode="External"/><Relationship Id="rId78" Type="http://schemas.openxmlformats.org/officeDocument/2006/relationships/hyperlink" Target="https://esipa.cz/sbirka/sbsrv.dll/sb?DR=SB&amp;CP=32000F0383" TargetMode="External"/><Relationship Id="rId79" Type="http://schemas.openxmlformats.org/officeDocument/2006/relationships/hyperlink" Target="https://esipa.cz/sbirka/sbsrv.dll/sb?DR=SB&amp;CP=32017L1371" TargetMode="External"/><Relationship Id="rId80" Type="http://schemas.openxmlformats.org/officeDocument/2006/relationships/hyperlink" Target="https://esipa.cz/sbirka/sbsrv.dll/sb?DR=SB&amp;CP=32018L1673" TargetMode="External"/><Relationship Id="rId81" Type="http://schemas.openxmlformats.org/officeDocument/2006/relationships/hyperlink" Target="https://esipa.cz/sbirka/sbsrv.dll/sb?DR=SB&amp;CP=32019L0713" TargetMode="External"/><Relationship Id="rId82" Type="http://schemas.openxmlformats.org/officeDocument/2006/relationships/hyperlink" Target="https://esipa.cz/sbirka/sbsrv.dll/sb?DR=SB&amp;CP=32001F0413" TargetMode="External"/><Relationship Id="rId83" Type="http://schemas.openxmlformats.org/officeDocument/2006/relationships/hyperlink" Target="https://esipa.cz/sbirka/sbsrv.dll/sb?DR=SB&amp;CP=2009s040" TargetMode="External"/><Relationship Id="rId84" Type="http://schemas.openxmlformats.org/officeDocument/2006/relationships/header" Target="header1.xml"/><Relationship Id="rId8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429/2022 Sb. z 5. 1. 2023</dc:title>
  <dc:description>Zákon trestní zákoník</dc:description>
  <dc:subject/>
  <cp:keywords/>
  <cp:category/>
  <cp:lastModifiedBy/>
  <dcterms:created xsi:type="dcterms:W3CDTF">2023-01-05T00:00:00+01:00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