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financování terorismu (§ 312d), podpory a propagace terorismu (§ 312e),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 140 odst.  3, nebo který při spáchání zvlášť závažného zločinu obecného ohrožení podle § 272 odst.  3, vlastizrady (§ 309), teroristického útoku podle § 311 odst. 2, teroru (§ 312), genocidia (§  400), útoku proti lidskosti (§ 401), použití zakázaného bojového prostředku a nedovoleného vedení boje podle § 411 odst.  3, válečné krutosti podle § 412 odst.  3, perzekuce obyvatelstva podle § 413 odst.  3 nebo zneužití mezinárodně uznávaných a státních znaků podle § 415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 Trest propadnutí věci postihuje i plody a užitky takové věci, které náležejí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byla získána trestným činem nebo jako odměna za trestný čin anebo která byla, byť jen zčásti, nabyta za věc získanou trestným činem nebo za věc tvořící odměnu za trestný čin, pokud hodnota věci, která byla získána trestným činem nebo jako odměna za něj, není ve vztahu k hodnotě nabyté věci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Zabrání věci postihuje i plody a užitky věci, které náležejí osobě, jejíž věc se zabírá.</w:t>
      </w:r>
    </w:p>
    <w:p>
      <w:pPr>
        <w:ind w:left="0" w:right="0"/>
      </w:pPr>
      <w:r>
        <w:rPr>
          <w:b/>
          <w:bCs/>
        </w:rPr>
        <w:t xml:space="preserve">(4)</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(5)</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(6)</w:t>
      </w:r>
      <w:r>
        <w:rPr/>
        <w:t xml:space="preserve">  Nebude-li povinnost stanovená podle odstavce  5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je výnosem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 101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 101 odst.  5 a 6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5; zákaz zcizení zde platí až do splnění povinnosti podle § 101 odst. 5, a nebyla-li tato povinnost splněna, až do právní moci rozhodnutí o zabrání věci (§ 101 odst. 6).</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nebo jinému poskytne nepravdivou nebo hrubě zkreslenou informaci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podílnictví (§ 214),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občanem České republiky, vycestuje-li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která není občanem České republiky, vycestuje-li z České republiky nebo cestuje-li přes její území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v obchodním styku podle § 255 odst.  4, zneužití postavení v obchodním styku podle § 255a odst. 3,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7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4"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5"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5"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65"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sectPr>
      <w:headerReference w:type="default" r:id="rId66"/>
      <w:footerReference w:type="default" r:id="rId6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204/2017 Sb. z </w:t>
          </w:r>
          <w:r>
            <w:rPr>
              <w:rStyle w:val="bold"/>
            </w:rPr>
            <w:t xml:space="preserve">3. 1. 2018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32014L0042" TargetMode="External"/><Relationship Id="rId64" Type="http://schemas.openxmlformats.org/officeDocument/2006/relationships/hyperlink" Target="https://esipa.cz/sbirka/sbsrv.dll/sb?DR=SB&amp;CP=32014L0057" TargetMode="External"/><Relationship Id="rId65" Type="http://schemas.openxmlformats.org/officeDocument/2006/relationships/hyperlink" Target="https://esipa.cz/sbirka/sbsrv.dll/sb?DR=SB&amp;CP=2009s040" TargetMode="External"/><Relationship Id="rId66" Type="http://schemas.openxmlformats.org/officeDocument/2006/relationships/header" Target="header1.xml"/><Relationship Id="rId6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204/2017 Sb. z 3. 1. 2018</dc:title>
  <dc:description>Zákon trestní zákoník</dc:description>
  <dc:subject/>
  <cp:keywords/>
  <cp:category/>
  <cp:lastModifiedBy/>
  <dcterms:created xsi:type="dcterms:W3CDTF">2018-01-03T00:00:00+01:00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