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ind w:left="0" w:right="0"/>
        <w:spacing w:after="0" w:line="480" w:lineRule="auto"/>
      </w:pPr>
      <w:r>
        <w:rPr>
          <w:b/>
          <w:bCs/>
        </w:rPr>
        <w:t xml:space="preserve">96</w:t>
      </w:r>
    </w:p>
    <w:p>
      <w:pPr>
        <w:jc w:val="center"/>
        <w:ind w:left="0" w:right="0"/>
        <w:spacing w:after="0"/>
      </w:pPr>
      <w:r>
        <w:rPr>
          <w:b/>
          <w:bCs/>
        </w:rPr>
        <w:t xml:space="preserve">VYHLÁŠKA</w:t>
      </w:r>
    </w:p>
    <w:p>
      <w:pPr>
        <w:jc w:val="center"/>
        <w:ind w:left="0" w:right="0"/>
        <w:spacing w:after="0"/>
      </w:pPr>
      <w:r>
        <w:rPr/>
        <w:t xml:space="preserve">ze dne 3. dubna 2024,</w:t>
      </w:r>
    </w:p>
    <w:p>
      <w:pPr>
        <w:jc w:val="center"/>
        <w:ind w:left="0" w:right="0"/>
        <w:spacing w:after="0"/>
      </w:pPr>
      <w:r>
        <w:rPr>
          <w:b/>
          <w:bCs/>
        </w:rPr>
        <w:t xml:space="preserve">kterou se mění vyhláška č. </w:t>
      </w:r>
      <w:hyperlink r:id="rId7" w:history="1">
        <w:r>
          <w:rPr>
            <w:color w:val="darkblue"/>
            <w:u w:val="single"/>
          </w:rPr>
          <w:t xml:space="preserve">383/2009 Sb.</w:t>
        </w:r>
      </w:hyperlink>
      <w:r>
        <w:rPr>
          <w:b/>
          <w:bCs/>
        </w:rPr>
        <w:t xml:space="preserve">, o účetních záznamech v technické formě vybraných účetních jednotek a jejich předávání do centrálního systému účetních informací státu a o požadavcích na technické a smíšené formy účetních záznamů (technická vyhláška o účetních záznamech), ve znění pozdějších předpisů</w:t>
      </w:r>
    </w:p>
    <w:p/>
    <w:p>
      <w:pPr>
        <w:jc w:val="left"/>
        <w:ind w:left="0" w:right="0"/>
        <w:spacing w:after="0"/>
      </w:pPr>
      <w:r>
        <w:rPr/>
        <w:t xml:space="preserve">Ministerstvo financí stanoví podle </w:t>
      </w:r>
      <w:hyperlink r:id="rId8" w:history="1">
        <w:r>
          <w:rPr>
            <w:color w:val="darkblue"/>
            <w:u w:val="single"/>
          </w:rPr>
          <w:t xml:space="preserve">§ 37b</w:t>
        </w:r>
      </w:hyperlink>
      <w:r>
        <w:rPr/>
        <w:t xml:space="preserve"> odst. 1 zákona č. </w:t>
      </w:r>
      <w:hyperlink r:id="rId9" w:history="1">
        <w:r>
          <w:rPr>
            <w:color w:val="darkblue"/>
            <w:u w:val="single"/>
          </w:rPr>
          <w:t xml:space="preserve">563/1991 Sb.</w:t>
        </w:r>
      </w:hyperlink>
      <w:r>
        <w:rPr/>
        <w:t xml:space="preserve">, o účetnictví, ve znění zákona č. </w:t>
      </w:r>
      <w:hyperlink r:id="rId10" w:history="1">
        <w:r>
          <w:rPr>
            <w:color w:val="darkblue"/>
            <w:u w:val="single"/>
          </w:rPr>
          <w:t xml:space="preserve">437/2003 Sb.</w:t>
        </w:r>
      </w:hyperlink>
      <w:r>
        <w:rPr/>
        <w:t xml:space="preserve">, zákona č. </w:t>
      </w:r>
      <w:hyperlink r:id="rId11" w:history="1">
        <w:r>
          <w:rPr>
            <w:color w:val="darkblue"/>
            <w:u w:val="single"/>
          </w:rPr>
          <w:t xml:space="preserve">304/2008 Sb.</w:t>
        </w:r>
      </w:hyperlink>
      <w:r>
        <w:rPr/>
        <w:t xml:space="preserve">, zákona č. </w:t>
      </w:r>
      <w:hyperlink r:id="rId12" w:history="1">
        <w:r>
          <w:rPr>
            <w:color w:val="darkblue"/>
            <w:u w:val="single"/>
          </w:rPr>
          <w:t xml:space="preserve">221/2015 Sb.</w:t>
        </w:r>
      </w:hyperlink>
      <w:r>
        <w:rPr/>
        <w:t xml:space="preserve"> a zákona č. </w:t>
      </w:r>
      <w:hyperlink r:id="rId13" w:history="1">
        <w:r>
          <w:rPr>
            <w:color w:val="darkblue"/>
            <w:u w:val="single"/>
          </w:rPr>
          <w:t xml:space="preserve">462/2016 Sb.</w:t>
        </w:r>
      </w:hyperlink>
      <w:r>
        <w:rPr/>
        <w:t xml:space="preserve">, k provedení </w:t>
      </w:r>
      <w:hyperlink r:id="rId14" w:history="1">
        <w:r>
          <w:rPr>
            <w:color w:val="darkblue"/>
            <w:u w:val="single"/>
          </w:rPr>
          <w:t xml:space="preserve">§ 4</w:t>
        </w:r>
      </w:hyperlink>
      <w:r>
        <w:rPr/>
        <w:t xml:space="preserve"> odst. 8 tohoto zákona a podle </w:t>
      </w:r>
      <w:hyperlink r:id="rId15" w:history="1">
        <w:r>
          <w:rPr>
            <w:color w:val="darkblue"/>
            <w:u w:val="single"/>
          </w:rPr>
          <w:t xml:space="preserve">§ 20</w:t>
        </w:r>
      </w:hyperlink>
      <w:r>
        <w:rPr/>
        <w:t xml:space="preserve"> odst. 6, </w:t>
      </w:r>
      <w:hyperlink r:id="rId16" w:history="1">
        <w:r>
          <w:rPr>
            <w:color w:val="darkblue"/>
            <w:u w:val="single"/>
          </w:rPr>
          <w:t xml:space="preserve">§ 30</w:t>
        </w:r>
      </w:hyperlink>
      <w:r>
        <w:rPr/>
        <w:t xml:space="preserve"> odst. 2 a </w:t>
      </w:r>
      <w:hyperlink r:id="rId17" w:history="1">
        <w:r>
          <w:rPr>
            <w:color w:val="darkblue"/>
            <w:u w:val="single"/>
          </w:rPr>
          <w:t xml:space="preserve">§ 47</w:t>
        </w:r>
      </w:hyperlink>
      <w:r>
        <w:rPr/>
        <w:t xml:space="preserve"> odst. 7 zákona č. </w:t>
      </w:r>
      <w:hyperlink r:id="rId18" w:history="1">
        <w:r>
          <w:rPr>
            <w:color w:val="darkblue"/>
            <w:u w:val="single"/>
          </w:rPr>
          <w:t xml:space="preserve">218/2000 Sb.</w:t>
        </w:r>
      </w:hyperlink>
      <w:r>
        <w:rPr/>
        <w:t xml:space="preserve">, o rozpočtových pravidlech a o změně některých souvisejících zákonů (rozpočtová pravidla), ve znění zákona č. </w:t>
      </w:r>
      <w:hyperlink r:id="rId19" w:history="1">
        <w:r>
          <w:rPr>
            <w:color w:val="darkblue"/>
            <w:u w:val="single"/>
          </w:rPr>
          <w:t xml:space="preserve">320/2002 Sb.</w:t>
        </w:r>
      </w:hyperlink>
      <w:r>
        <w:rPr/>
        <w:t xml:space="preserve">, zákona č. </w:t>
      </w:r>
      <w:hyperlink r:id="rId20" w:history="1">
        <w:r>
          <w:rPr>
            <w:color w:val="darkblue"/>
            <w:u w:val="single"/>
          </w:rPr>
          <w:t xml:space="preserve">482/2004 Sb.</w:t>
        </w:r>
      </w:hyperlink>
      <w:r>
        <w:rPr/>
        <w:t xml:space="preserve">, zákona č. </w:t>
      </w:r>
      <w:hyperlink r:id="rId21" w:history="1">
        <w:r>
          <w:rPr>
            <w:color w:val="darkblue"/>
            <w:u w:val="single"/>
          </w:rPr>
          <w:t xml:space="preserve">26/2008 Sb.</w:t>
        </w:r>
      </w:hyperlink>
      <w:r>
        <w:rPr/>
        <w:t xml:space="preserve">, zákona č. </w:t>
      </w:r>
      <w:hyperlink r:id="rId22" w:history="1">
        <w:r>
          <w:rPr>
            <w:color w:val="darkblue"/>
            <w:u w:val="single"/>
          </w:rPr>
          <w:t xml:space="preserve">421/2009 Sb.</w:t>
        </w:r>
      </w:hyperlink>
      <w:r>
        <w:rPr/>
        <w:t xml:space="preserve">, zákona č. </w:t>
      </w:r>
      <w:hyperlink r:id="rId23" w:history="1">
        <w:r>
          <w:rPr>
            <w:color w:val="darkblue"/>
            <w:u w:val="single"/>
          </w:rPr>
          <w:t xml:space="preserve">25/2015 Sb.</w:t>
        </w:r>
      </w:hyperlink>
      <w:r>
        <w:rPr/>
        <w:t xml:space="preserve">, zákona č. </w:t>
      </w:r>
      <w:hyperlink r:id="rId24" w:history="1">
        <w:r>
          <w:rPr>
            <w:color w:val="darkblue"/>
            <w:u w:val="single"/>
          </w:rPr>
          <w:t xml:space="preserve">128/2016 Sb.</w:t>
        </w:r>
      </w:hyperlink>
      <w:r>
        <w:rPr/>
        <w:t xml:space="preserve">, zákona č. </w:t>
      </w:r>
      <w:hyperlink r:id="rId25" w:history="1">
        <w:r>
          <w:rPr>
            <w:color w:val="darkblue"/>
            <w:u w:val="single"/>
          </w:rPr>
          <w:t xml:space="preserve">484/2020 Sb.</w:t>
        </w:r>
      </w:hyperlink>
      <w:r>
        <w:rPr/>
        <w:t xml:space="preserve"> a zákona č. </w:t>
      </w:r>
      <w:hyperlink r:id="rId26" w:history="1">
        <w:r>
          <w:rPr>
            <w:color w:val="darkblue"/>
            <w:u w:val="single"/>
          </w:rPr>
          <w:t xml:space="preserve">251/2021 Sb.</w:t>
        </w:r>
      </w:hyperlink>
      <w:r>
        <w:rPr/>
        <w:t xml:space="preserve">:</w:t>
      </w:r>
    </w:p>
    <w:p>
      <w:pPr>
        <w:spacing w:after="0"/>
      </w:pPr>
      <w:pPr>
        <w:rPr/>
      </w:pPr>
    </w:p>
    <w:p>
      <w:pPr/>
      <w:r>
        <w:pict>
          <v:shape id="_x0000_s1008" type="#_x0000_t32" style="width:600pt; height:0pt; margin-left:0pt; margin-top:0pt; mso-position-horizontal:left; mso-position-vertical:top; mso-position-horizontal-relative:char; mso-position-vertical-relative:line;">
            <w10:wrap type="inline"/>
            <v:stroke weight="1pt" color="#ccc"/>
          </v:shape>
        </w:pict>
      </w:r>
    </w:p>
    <w:p>
      <w:pPr>
        <w:pStyle w:val="Heading1"/>
      </w:pPr>
      <w:r>
        <w:rPr>
          <w:b/>
          <w:bCs/>
        </w:rPr>
        <w:t xml:space="preserve">Čl. I</w:t>
      </w:r>
    </w:p>
    <w:p>
      <w:pPr>
        <w:ind w:left="0" w:right="0"/>
      </w:pPr>
      <w:r>
        <w:rPr/>
        <w:t xml:space="preserve">Vyhláška č. </w:t>
      </w:r>
      <w:hyperlink r:id="rId7" w:history="1">
        <w:r>
          <w:rPr>
            <w:color w:val="darkblue"/>
            <w:u w:val="single"/>
          </w:rPr>
          <w:t xml:space="preserve">383/2009 Sb.</w:t>
        </w:r>
      </w:hyperlink>
      <w:r>
        <w:rPr/>
        <w:t xml:space="preserve">, o účetních záznamech v technické formě vybraných účetních jednotek a jejich předávání do centrálního systému účetních informací státu a o požadavcích na technické a smíšené formy účetních záznamů (technická vyhláška o účetních záznamech), ve znění vyhlášky č. </w:t>
      </w:r>
      <w:hyperlink r:id="rId27" w:history="1">
        <w:r>
          <w:rPr>
            <w:color w:val="darkblue"/>
            <w:u w:val="single"/>
          </w:rPr>
          <w:t xml:space="preserve">434/2010 Sb.</w:t>
        </w:r>
      </w:hyperlink>
      <w:r>
        <w:rPr/>
        <w:t xml:space="preserve">, vyhlášky č. </w:t>
      </w:r>
      <w:hyperlink r:id="rId28" w:history="1">
        <w:r>
          <w:rPr>
            <w:color w:val="darkblue"/>
            <w:u w:val="single"/>
          </w:rPr>
          <w:t xml:space="preserve">437/2011 Sb.</w:t>
        </w:r>
      </w:hyperlink>
      <w:r>
        <w:rPr/>
        <w:t xml:space="preserve">, vyhlášky č. </w:t>
      </w:r>
      <w:hyperlink r:id="rId29" w:history="1">
        <w:r>
          <w:rPr>
            <w:color w:val="darkblue"/>
            <w:u w:val="single"/>
          </w:rPr>
          <w:t xml:space="preserve">461/2012 Sb.</w:t>
        </w:r>
      </w:hyperlink>
      <w:r>
        <w:rPr/>
        <w:t xml:space="preserve">, vyhlášky č. </w:t>
      </w:r>
      <w:hyperlink r:id="rId30" w:history="1">
        <w:r>
          <w:rPr>
            <w:color w:val="darkblue"/>
            <w:u w:val="single"/>
          </w:rPr>
          <w:t xml:space="preserve">472/2013 Sb.</w:t>
        </w:r>
      </w:hyperlink>
      <w:r>
        <w:rPr/>
        <w:t xml:space="preserve">, vyhlášky č. </w:t>
      </w:r>
      <w:hyperlink r:id="rId31" w:history="1">
        <w:r>
          <w:rPr>
            <w:color w:val="darkblue"/>
            <w:u w:val="single"/>
          </w:rPr>
          <w:t xml:space="preserve">300/2014 Sb.</w:t>
        </w:r>
      </w:hyperlink>
      <w:r>
        <w:rPr/>
        <w:t xml:space="preserve">, vyhlášky č. </w:t>
      </w:r>
      <w:hyperlink r:id="rId32" w:history="1">
        <w:r>
          <w:rPr>
            <w:color w:val="darkblue"/>
            <w:u w:val="single"/>
          </w:rPr>
          <w:t xml:space="preserve">370/2015 Sb.</w:t>
        </w:r>
      </w:hyperlink>
      <w:r>
        <w:rPr/>
        <w:t xml:space="preserve">, vyhlášky č. </w:t>
      </w:r>
      <w:hyperlink r:id="rId33" w:history="1">
        <w:r>
          <w:rPr>
            <w:color w:val="darkblue"/>
            <w:u w:val="single"/>
          </w:rPr>
          <w:t xml:space="preserve">447/2016 Sb.</w:t>
        </w:r>
      </w:hyperlink>
      <w:r>
        <w:rPr/>
        <w:t xml:space="preserve">, vyhlášky č. </w:t>
      </w:r>
      <w:hyperlink r:id="rId34" w:history="1">
        <w:r>
          <w:rPr>
            <w:color w:val="darkblue"/>
            <w:u w:val="single"/>
          </w:rPr>
          <w:t xml:space="preserve">274/2017 Sb.</w:t>
        </w:r>
      </w:hyperlink>
      <w:r>
        <w:rPr/>
        <w:t xml:space="preserve">, vyhlášky č. </w:t>
      </w:r>
      <w:hyperlink r:id="rId35" w:history="1">
        <w:r>
          <w:rPr>
            <w:color w:val="darkblue"/>
            <w:u w:val="single"/>
          </w:rPr>
          <w:t xml:space="preserve">398/2017 Sb.</w:t>
        </w:r>
      </w:hyperlink>
      <w:r>
        <w:rPr/>
        <w:t xml:space="preserve">, vyhlášky č. </w:t>
      </w:r>
      <w:hyperlink r:id="rId36" w:history="1">
        <w:r>
          <w:rPr>
            <w:color w:val="darkblue"/>
            <w:u w:val="single"/>
          </w:rPr>
          <w:t xml:space="preserve">341/2021 Sb.</w:t>
        </w:r>
      </w:hyperlink>
      <w:r>
        <w:rPr/>
        <w:t xml:space="preserve"> a vyhlášky č. </w:t>
      </w:r>
      <w:hyperlink r:id="rId37" w:history="1">
        <w:r>
          <w:rPr>
            <w:color w:val="darkblue"/>
            <w:u w:val="single"/>
          </w:rPr>
          <w:t xml:space="preserve">430/2021 Sb.</w:t>
        </w:r>
      </w:hyperlink>
      <w:r>
        <w:rPr/>
        <w:t xml:space="preserve">, se mění takto: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1.</w:t>
      </w:r>
      <w:r>
        <w:rPr/>
        <w:t xml:space="preserve">	</w:t>
      </w:r>
      <w:r>
        <w:rPr/>
        <w:t xml:space="preserve">V </w:t>
      </w:r>
      <w:hyperlink r:id="rId38" w:history="1">
        <w:r>
          <w:rPr>
            <w:color w:val="darkblue"/>
            <w:u w:val="single"/>
          </w:rPr>
          <w:t xml:space="preserve">§ 2</w:t>
        </w:r>
      </w:hyperlink>
      <w:r>
        <w:rPr/>
        <w:t xml:space="preserve"> se písmeno g) zrušuje.</w:t>
      </w:r>
    </w:p>
    <w:p>
      <w:pPr>
        <w:ind w:left="560" w:right="0"/>
      </w:pPr>
      <w:r>
        <w:rPr/>
        <w:t xml:space="preserve">Dosavadní písmena h) až n) se označují jako písmena g) až m).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2.</w:t>
      </w:r>
      <w:r>
        <w:rPr/>
        <w:t xml:space="preserve">	</w:t>
      </w:r>
      <w:r>
        <w:rPr/>
        <w:t xml:space="preserve">V </w:t>
      </w:r>
      <w:hyperlink r:id="rId39" w:history="1">
        <w:r>
          <w:rPr>
            <w:color w:val="darkblue"/>
            <w:u w:val="single"/>
          </w:rPr>
          <w:t xml:space="preserve">§ 3</w:t>
        </w:r>
      </w:hyperlink>
      <w:r>
        <w:rPr/>
        <w:t xml:space="preserve"> odst. 4 se za slovo „Formát“ vkládají slova „a struktura“ a slova „je stanoven v příloze č. 1 k této vyhlášce“ se nahrazují slovy „jsou stanoveny v metodice technického zajištění formátu, struktury, přenosu a zabezpečení účetních záznamů podle této vyhlášky (dále jen ‚Technický manuál centrálního systému účetních informací státu‘)“.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3.</w:t>
      </w:r>
      <w:r>
        <w:rPr/>
        <w:t xml:space="preserve">	</w:t>
      </w:r>
      <w:r>
        <w:rPr/>
        <w:t xml:space="preserve">V </w:t>
      </w:r>
      <w:hyperlink r:id="rId39" w:history="1">
        <w:r>
          <w:rPr>
            <w:color w:val="darkblue"/>
            <w:u w:val="single"/>
          </w:rPr>
          <w:t xml:space="preserve">§ 3</w:t>
        </w:r>
      </w:hyperlink>
      <w:r>
        <w:rPr/>
        <w:t xml:space="preserve"> odst. 5 se slova „příloze č. 2 k této vyhlášce“ nahrazují slovy „Technickém manuálu centrálního systému účetních informací státu“.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4.</w:t>
      </w:r>
      <w:r>
        <w:rPr/>
        <w:t xml:space="preserve">	</w:t>
      </w:r>
      <w:r>
        <w:rPr/>
        <w:t xml:space="preserve">V </w:t>
      </w:r>
      <w:hyperlink r:id="rId39" w:history="1">
        <w:r>
          <w:rPr>
            <w:color w:val="darkblue"/>
            <w:u w:val="single"/>
          </w:rPr>
          <w:t xml:space="preserve">§ 3</w:t>
        </w:r>
      </w:hyperlink>
      <w:r>
        <w:rPr/>
        <w:t xml:space="preserve"> odstavce 6 a 7 znějí:</w:t>
      </w:r>
    </w:p>
    <w:p>
      <w:pPr>
        <w:ind w:left="560" w:right="0"/>
      </w:pPr>
      <w:r>
        <w:rPr/>
        <w:t xml:space="preserve">„</w:t>
      </w:r>
      <w:r>
        <w:rPr>
          <w:b/>
          <w:bCs/>
        </w:rPr>
        <w:t xml:space="preserve">(6)</w:t>
      </w:r>
      <w:r>
        <w:rPr/>
        <w:t xml:space="preserve"> Ministerstvo zveřejní Technický manuál centrálního systému účetních informací státu způsobem umožňujícím dálkový přístup. Technický manuál centrálního systému účetních informací státu je součástí provozní dokumentace Integrovaného informačního systému státní pokladny.</w:t>
      </w:r>
    </w:p>
    <w:p>
      <w:pPr>
        <w:ind w:left="560" w:right="0"/>
      </w:pPr>
      <w:r>
        <w:rPr>
          <w:b/>
          <w:bCs/>
        </w:rPr>
        <w:t xml:space="preserve">(7)</w:t>
      </w:r>
      <w:r>
        <w:rPr/>
        <w:t xml:space="preserve"> V Technickém manuálu centrálního systému účetních informací státu správce centrálního systému účetních informací státu uvede alespoň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a)</w:t>
      </w:r>
      <w:r>
        <w:rPr/>
        <w:t xml:space="preserve">	</w:t>
      </w:r>
      <w:r>
        <w:rPr/>
        <w:t xml:space="preserve">vymezení datových prvků předávaných údajů a jejich atributy,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b)</w:t>
      </w:r>
      <w:r>
        <w:rPr/>
        <w:t xml:space="preserve">	</w:t>
      </w:r>
      <w:r>
        <w:rPr/>
        <w:t xml:space="preserve">vymezení komunikačního rozhraní včetně bezpečnostních parametrů a bližší podmínky jeho provozu,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c)</w:t>
      </w:r>
      <w:r>
        <w:rPr/>
        <w:t xml:space="preserve">	</w:t>
      </w:r>
      <w:r>
        <w:rPr/>
        <w:t xml:space="preserve">způsob hlášení závad datových přenosů,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d)</w:t>
      </w:r>
      <w:r>
        <w:rPr/>
        <w:t xml:space="preserve">	</w:t>
      </w:r>
      <w:r>
        <w:rPr/>
        <w:t xml:space="preserve">termíny vytváření sestav jednotlivých předaných účetních záznamů pro účely uživatelů účetních záznamů,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e)</w:t>
      </w:r>
      <w:r>
        <w:rPr/>
        <w:t xml:space="preserve">	</w:t>
      </w:r>
      <w:r>
        <w:rPr/>
        <w:t xml:space="preserve">strukturu jednotlivých číselníků, registrů a informací z registrů spravovaných centrálními orgány veřejné správy nebo spravovaných správcem centrálního systému účetních informací státu, včetně jejich použití při členění účetních záznamů a jejich přenosu,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f)</w:t>
      </w:r>
      <w:r>
        <w:rPr/>
        <w:t xml:space="preserve">	</w:t>
      </w:r>
      <w:r>
        <w:rPr/>
        <w:t xml:space="preserve">parametry a další údaje potřebné pro autentizaci a autorizaci postupů spojených s přenosem účetních záznamů, včetně způsobů a termínů předávání prostředků nutných k technickému a organizačnímu zabezpečení přenosu účetních záznamů mezi vybranou účetní jednotkou a centrálním systémem účetních informací státu,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g)</w:t>
      </w:r>
      <w:r>
        <w:rPr/>
        <w:t xml:space="preserve">	</w:t>
      </w:r>
      <w:r>
        <w:rPr/>
        <w:t xml:space="preserve">údaje potřebné pro registraci osoby odpovědné za přenos dat mezi vybranou účetní jednotkou a centrálním systémem účetních informací státu (dále jen „zodpovědná osoba“),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h)</w:t>
      </w:r>
      <w:r>
        <w:rPr/>
        <w:t xml:space="preserve">	</w:t>
      </w:r>
      <w:r>
        <w:rPr/>
        <w:t xml:space="preserve">způsob a postupy provádění syntaktické kontroly, kontroly zabezpečení a obsahové kontroly,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i)</w:t>
      </w:r>
      <w:r>
        <w:rPr/>
        <w:t xml:space="preserve">	</w:t>
      </w:r>
      <w:r>
        <w:rPr/>
        <w:t xml:space="preserve">postupy provádění obsahové kontroly konsolidačních účetních záznamů, které vycházejí ze závazných vzorů a postupů stanovených vyhláškou k provedení zákona o účetnictví pro některé vybrané účetní jednotky,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j)</w:t>
      </w:r>
      <w:r>
        <w:rPr/>
        <w:t xml:space="preserve">	</w:t>
      </w:r>
      <w:r>
        <w:rPr/>
        <w:t xml:space="preserve">způsob poskytování součinnosti zodpovědné osobě správcem centrálního systému účetních informací státu při odstraňování chyb v přenášených účetních záznamech,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k)</w:t>
      </w:r>
      <w:r>
        <w:rPr/>
        <w:t xml:space="preserve">	</w:t>
      </w:r>
      <w:r>
        <w:rPr/>
        <w:t xml:space="preserve">způsob předání údajů o zodpovědné osobě správci centrálního systému účetních informací státu,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l)</w:t>
      </w:r>
      <w:r>
        <w:rPr/>
        <w:t xml:space="preserve">	</w:t>
      </w:r>
      <w:r>
        <w:rPr/>
        <w:t xml:space="preserve">typy a specifikace komunikačních protokolů a související skutečnosti,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m)</w:t>
      </w:r>
      <w:r>
        <w:rPr/>
        <w:t xml:space="preserve">	</w:t>
      </w:r>
      <w:r>
        <w:rPr/>
        <w:t xml:space="preserve">způsob oznamování závažných skutečností, zejména hrozby zneužití přenášených účetních záznamů nebo jiných přenášených dat, správci centrálního systému účetních informací státu vybranou účetní jednotkou,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n)</w:t>
      </w:r>
      <w:r>
        <w:rPr/>
        <w:t xml:space="preserve">	</w:t>
      </w:r>
      <w:r>
        <w:rPr/>
        <w:t xml:space="preserve">požadavky na vyžádání a přenos jiného účetního záznamu a s tím spojený postup osoby, která jiný účetní záznam vyžádala, jakož i s tím spojený postup správce centrálního systému účetních informací státu a dotčené vybrané účetní jednotky a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o)</w:t>
      </w:r>
      <w:r>
        <w:rPr/>
        <w:t xml:space="preserve">	</w:t>
      </w:r>
      <w:r>
        <w:rPr/>
        <w:t xml:space="preserve">parametry stavových zpráv o přenosech, způsob jejich tvorby a poskytování vybraným účetním jednotkám a související skutečnosti.“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5.</w:t>
      </w:r>
      <w:r>
        <w:rPr/>
        <w:t xml:space="preserve">	</w:t>
      </w:r>
      <w:r>
        <w:rPr/>
        <w:t xml:space="preserve">V </w:t>
      </w:r>
      <w:hyperlink r:id="rId39" w:history="1">
        <w:r>
          <w:rPr>
            <w:color w:val="darkblue"/>
            <w:u w:val="single"/>
          </w:rPr>
          <w:t xml:space="preserve">§ 3</w:t>
        </w:r>
      </w:hyperlink>
      <w:r>
        <w:rPr/>
        <w:t xml:space="preserve"> se odstavec 8 zrušuje.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6.</w:t>
      </w:r>
      <w:r>
        <w:rPr/>
        <w:t xml:space="preserve">	</w:t>
      </w:r>
      <w:hyperlink r:id="rId40" w:history="1">
        <w:r>
          <w:rPr>
            <w:color w:val="darkblue"/>
            <w:u w:val="single"/>
          </w:rPr>
          <w:t xml:space="preserve">§ 4</w:t>
        </w:r>
      </w:hyperlink>
      <w:r>
        <w:rPr/>
        <w:t xml:space="preserve"> včetně nadpisu zní:</w:t>
      </w:r>
    </w:p>
    <w:p>
      <w:pPr>
        <w:pStyle w:val="Heading2"/>
      </w:pPr>
      <w:r>
        <w:rPr>
          <w:b/>
          <w:bCs/>
        </w:rPr>
        <w:t xml:space="preserve">„§ 4</w:t>
      </w:r>
      <w:r>
        <w:rPr>
          <w:rStyle w:val="hidden"/>
        </w:rPr>
        <w:t xml:space="preserve"> -</w:t>
      </w:r>
      <w:br/>
      <w:r>
        <w:rPr/>
        <w:t xml:space="preserve">Přenos účetních záznamů</w:t>
      </w:r>
    </w:p>
    <w:p>
      <w:pPr>
        <w:ind w:left="560" w:right="0"/>
      </w:pPr>
      <w:r>
        <w:rPr>
          <w:b/>
          <w:bCs/>
        </w:rPr>
        <w:t xml:space="preserve">(1)</w:t>
      </w:r>
      <w:r>
        <w:rPr/>
        <w:t xml:space="preserve"> Vybrané účetní jednotky předávají účetní záznamy podle </w:t>
      </w:r>
      <w:hyperlink r:id="rId41" w:history="1">
        <w:r>
          <w:rPr>
            <w:color w:val="darkblue"/>
            <w:u w:val="single"/>
          </w:rPr>
          <w:t xml:space="preserve">§ 3</w:t>
        </w:r>
      </w:hyperlink>
      <w:r>
        <w:rPr/>
        <w:t xml:space="preserve"> a </w:t>
      </w:r>
      <w:hyperlink r:id="rId42" w:history="1">
        <w:r>
          <w:rPr>
            <w:color w:val="darkblue"/>
            <w:u w:val="single"/>
          </w:rPr>
          <w:t xml:space="preserve">3a</w:t>
        </w:r>
      </w:hyperlink>
      <w:r>
        <w:rPr/>
        <w:t xml:space="preserve"> do centrálního systému účetních informací státu v technické formě přenosovou cestou, kterou se rozumí připojení prostřednictvím internetového datového rozhraní k centrálnímu systému účetních informací státu, které splňuje požadavky průkaznosti a neměnnosti přenášeného účetního záznamu podle zákona a dále požadavky ochrany a bezpečnosti odpovídající charakteru přenášených informací podle jiných právních předpisů upravujících požadavky na kybernetickou bezpečnost.</w:t>
      </w:r>
    </w:p>
    <w:p>
      <w:pPr>
        <w:ind w:left="560" w:right="0"/>
      </w:pPr>
      <w:r>
        <w:rPr>
          <w:b/>
          <w:bCs/>
        </w:rPr>
        <w:t xml:space="preserve">(2)</w:t>
      </w:r>
      <w:r>
        <w:rPr/>
        <w:t xml:space="preserve"> Vybrané účetní jednotky přebírají účetní záznamy v technické formě připojením k centrálnímu systému účetních informací státu pomocí internetového datového rozhraní.</w:t>
      </w:r>
    </w:p>
    <w:p>
      <w:pPr>
        <w:ind w:left="560" w:right="0"/>
      </w:pPr>
      <w:r>
        <w:rPr>
          <w:b/>
          <w:bCs/>
        </w:rPr>
        <w:t xml:space="preserve">(3)</w:t>
      </w:r>
      <w:r>
        <w:rPr/>
        <w:t xml:space="preserve"> Ministerstvo zveřejňuje popis internetového datového rozhraní v Technickém manuálu centrálního systému účetních informací státu.“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7.</w:t>
      </w:r>
      <w:r>
        <w:rPr/>
        <w:t xml:space="preserve">	</w:t>
      </w:r>
      <w:r>
        <w:rPr/>
        <w:t xml:space="preserve">V nadpisu </w:t>
      </w:r>
      <w:hyperlink r:id="rId43" w:history="1">
        <w:r>
          <w:rPr>
            <w:color w:val="darkblue"/>
            <w:u w:val="single"/>
          </w:rPr>
          <w:t xml:space="preserve">§ 6</w:t>
        </w:r>
      </w:hyperlink>
      <w:r>
        <w:rPr/>
        <w:t xml:space="preserve"> se slovo „standardní“ zrušuje.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8.</w:t>
      </w:r>
      <w:r>
        <w:rPr/>
        <w:t xml:space="preserve">	</w:t>
      </w:r>
      <w:r>
        <w:rPr/>
        <w:t xml:space="preserve">V </w:t>
      </w:r>
      <w:hyperlink r:id="rId43" w:history="1">
        <w:r>
          <w:rPr>
            <w:color w:val="darkblue"/>
            <w:u w:val="single"/>
          </w:rPr>
          <w:t xml:space="preserve">§ 6</w:t>
        </w:r>
      </w:hyperlink>
      <w:r>
        <w:rPr/>
        <w:t xml:space="preserve"> odst. 1 se slovo „standardní“ zrušuje.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9.</w:t>
      </w:r>
      <w:r>
        <w:rPr/>
        <w:t xml:space="preserve">	</w:t>
      </w:r>
      <w:r>
        <w:rPr/>
        <w:t xml:space="preserve">V </w:t>
      </w:r>
      <w:hyperlink r:id="rId43" w:history="1">
        <w:r>
          <w:rPr>
            <w:color w:val="darkblue"/>
            <w:u w:val="single"/>
          </w:rPr>
          <w:t xml:space="preserve">§ 6</w:t>
        </w:r>
      </w:hyperlink>
      <w:r>
        <w:rPr/>
        <w:t xml:space="preserve"> odst. 3 a 4 se slovo „šifrovaných“ zrušuje.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10.</w:t>
      </w:r>
      <w:r>
        <w:rPr/>
        <w:t xml:space="preserve">	</w:t>
      </w:r>
      <w:hyperlink r:id="rId44" w:history="1">
        <w:r>
          <w:rPr>
            <w:color w:val="darkblue"/>
            <w:u w:val="single"/>
          </w:rPr>
          <w:t xml:space="preserve">§ 7</w:t>
        </w:r>
      </w:hyperlink>
      <w:r>
        <w:rPr/>
        <w:t xml:space="preserve"> se včetně nadpisu zrušuje.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11.</w:t>
      </w:r>
      <w:r>
        <w:rPr/>
        <w:t xml:space="preserve">	</w:t>
      </w:r>
      <w:r>
        <w:rPr/>
        <w:t xml:space="preserve">V </w:t>
      </w:r>
      <w:hyperlink r:id="rId45" w:history="1">
        <w:r>
          <w:rPr>
            <w:color w:val="darkblue"/>
            <w:u w:val="single"/>
          </w:rPr>
          <w:t xml:space="preserve">§ 8</w:t>
        </w:r>
      </w:hyperlink>
      <w:r>
        <w:rPr/>
        <w:t xml:space="preserve"> odstavec 1 zní:</w:t>
      </w:r>
    </w:p>
    <w:p>
      <w:pPr>
        <w:ind w:left="560" w:right="0"/>
      </w:pPr>
      <w:r>
        <w:rPr/>
        <w:t xml:space="preserve">„</w:t>
      </w:r>
      <w:r>
        <w:rPr>
          <w:b/>
          <w:bCs/>
        </w:rPr>
        <w:t xml:space="preserve">(1)</w:t>
      </w:r>
      <w:r>
        <w:rPr/>
        <w:t xml:space="preserve"> Vybrané účetní jednotky dostávají z centrálního systému účetních informací státu stavové zprávy, urgence a žádanky postupem podle Technického manuálu centrálního systému účetních informací státu.“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12.</w:t>
      </w:r>
      <w:r>
        <w:rPr/>
        <w:t xml:space="preserve">	</w:t>
      </w:r>
      <w:r>
        <w:rPr/>
        <w:t xml:space="preserve">V </w:t>
      </w:r>
      <w:hyperlink r:id="rId45" w:history="1">
        <w:r>
          <w:rPr>
            <w:color w:val="darkblue"/>
            <w:u w:val="single"/>
          </w:rPr>
          <w:t xml:space="preserve">§ 8</w:t>
        </w:r>
      </w:hyperlink>
      <w:r>
        <w:rPr/>
        <w:t xml:space="preserve"> se odstavec 2 zrušuje.</w:t>
      </w:r>
    </w:p>
    <w:p>
      <w:pPr>
        <w:ind w:left="560" w:right="0"/>
      </w:pPr>
      <w:r>
        <w:rPr/>
        <w:t xml:space="preserve">Dosavadní odstavce 3 až 5 se označují jako odstavce 2 až 4.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13.</w:t>
      </w:r>
      <w:r>
        <w:rPr/>
        <w:t xml:space="preserve">	</w:t>
      </w:r>
      <w:r>
        <w:rPr/>
        <w:t xml:space="preserve">V </w:t>
      </w:r>
      <w:hyperlink r:id="rId45" w:history="1">
        <w:r>
          <w:rPr>
            <w:color w:val="darkblue"/>
            <w:u w:val="single"/>
          </w:rPr>
          <w:t xml:space="preserve">§ 8</w:t>
        </w:r>
      </w:hyperlink>
      <w:r>
        <w:rPr/>
        <w:t xml:space="preserve"> odst. 4 se slovo „standardní“ zrušuje.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14.</w:t>
      </w:r>
      <w:r>
        <w:rPr/>
        <w:t xml:space="preserve">	</w:t>
      </w:r>
      <w:hyperlink r:id="rId46" w:history="1">
        <w:r>
          <w:rPr>
            <w:color w:val="darkblue"/>
            <w:u w:val="single"/>
          </w:rPr>
          <w:t xml:space="preserve">§ 9</w:t>
        </w:r>
      </w:hyperlink>
      <w:r>
        <w:rPr/>
        <w:t xml:space="preserve"> včetně nadpisu zní:</w:t>
      </w:r>
    </w:p>
    <w:p>
      <w:pPr>
        <w:pStyle w:val="Heading2"/>
      </w:pPr>
      <w:r>
        <w:rPr>
          <w:b/>
          <w:bCs/>
        </w:rPr>
        <w:t xml:space="preserve">„§ 9</w:t>
      </w:r>
      <w:r>
        <w:rPr>
          <w:rStyle w:val="hidden"/>
        </w:rPr>
        <w:t xml:space="preserve"> -</w:t>
      </w:r>
      <w:br/>
      <w:r>
        <w:rPr/>
        <w:t xml:space="preserve">Pravidla pro vybrané účetní jednotky</w:t>
      </w:r>
    </w:p>
    <w:p>
      <w:pPr>
        <w:ind w:left="560" w:right="0"/>
      </w:pPr>
      <w:r>
        <w:rPr>
          <w:b/>
          <w:bCs/>
        </w:rPr>
        <w:t xml:space="preserve">(1)</w:t>
      </w:r>
      <w:r>
        <w:rPr/>
        <w:t xml:space="preserve"> Vybraná účetní jednotka předává účetní záznamy do centrálního systému účetních informací státu postupem podle Technického manuálu centrálního systému účetních informací státu.</w:t>
      </w:r>
    </w:p>
    <w:p>
      <w:pPr>
        <w:ind w:left="560" w:right="0"/>
      </w:pPr>
      <w:r>
        <w:rPr>
          <w:b/>
          <w:bCs/>
        </w:rPr>
        <w:t xml:space="preserve">(2)</w:t>
      </w:r>
      <w:r>
        <w:rPr/>
        <w:t xml:space="preserve"> Vybraná účetní jednotka předává účetní záznamy do centrálního systému účetních informací státu a přebírá účetní záznamy z centrálního systému účetních informací státu přenosovou cestou v termínech stanovených touto vyhláškou nebo jiným právním předpisem.</w:t>
      </w:r>
    </w:p>
    <w:p>
      <w:pPr>
        <w:ind w:left="560" w:right="0"/>
      </w:pPr>
      <w:r>
        <w:rPr>
          <w:b/>
          <w:bCs/>
        </w:rPr>
        <w:t xml:space="preserve">(3)</w:t>
      </w:r>
      <w:r>
        <w:rPr/>
        <w:t xml:space="preserve"> Není-li přenos dat podle odstavce 2 uskutečněn úspěšně, vybraná účetní jednotka oznámí tuto skutečnost neprodleně správci centrálního systému účetních informací státu postupem stanoveným v Technickém manuálu centrálního systému účetních informací státu.</w:t>
      </w:r>
    </w:p>
    <w:p>
      <w:pPr>
        <w:ind w:left="560" w:right="0"/>
      </w:pPr>
      <w:r>
        <w:rPr>
          <w:b/>
          <w:bCs/>
        </w:rPr>
        <w:t xml:space="preserve">(4)</w:t>
      </w:r>
      <w:r>
        <w:rPr/>
        <w:t xml:space="preserve"> Vybraná účetní jednotka zajistí podmínky pro vyžádání a přenos jiných účetních záznamů ve stanoveném rozsahu a termínech přenosovou cestou v souladu s Technickým manuálem centrálního systému účetních informací státu.“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15.</w:t>
      </w:r>
      <w:r>
        <w:rPr/>
        <w:t xml:space="preserve">	</w:t>
      </w:r>
      <w:hyperlink r:id="rId47" w:history="1">
        <w:r>
          <w:rPr>
            <w:color w:val="darkblue"/>
            <w:u w:val="single"/>
          </w:rPr>
          <w:t xml:space="preserve">§ 14</w:t>
        </w:r>
      </w:hyperlink>
      <w:r>
        <w:rPr/>
        <w:t xml:space="preserve"> se včetně nadpisu zrušuje.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16.</w:t>
      </w:r>
      <w:r>
        <w:rPr/>
        <w:t xml:space="preserve">	</w:t>
      </w:r>
      <w:hyperlink r:id="rId48" w:history="1">
        <w:r>
          <w:rPr>
            <w:color w:val="darkblue"/>
            <w:u w:val="single"/>
          </w:rPr>
          <w:t xml:space="preserve">§ 15</w:t>
        </w:r>
      </w:hyperlink>
      <w:r>
        <w:rPr/>
        <w:t xml:space="preserve"> zní:</w:t>
      </w:r>
    </w:p>
    <w:p>
      <w:pPr>
        <w:pStyle w:val="Heading2"/>
      </w:pPr>
      <w:r>
        <w:rPr>
          <w:b/>
          <w:bCs/>
        </w:rPr>
        <w:t xml:space="preserve">„§ 15</w:t>
      </w:r>
    </w:p>
    <w:p>
      <w:pPr>
        <w:ind w:left="560" w:right="0"/>
      </w:pPr>
      <w:r>
        <w:rPr>
          <w:b/>
          <w:bCs/>
        </w:rPr>
        <w:t xml:space="preserve">(1)</w:t>
      </w:r>
      <w:r>
        <w:rPr/>
        <w:t xml:space="preserve"> Výkonem práv a povinností zodpovědné osoby může vybraná účetní jednotka pověřit pouze fyzickou osobu.</w:t>
      </w:r>
    </w:p>
    <w:p>
      <w:pPr>
        <w:ind w:left="560" w:right="0"/>
      </w:pPr>
      <w:r>
        <w:rPr>
          <w:b/>
          <w:bCs/>
        </w:rPr>
        <w:t xml:space="preserve">(2)</w:t>
      </w:r>
      <w:r>
        <w:rPr/>
        <w:t xml:space="preserve"> Vybraná účetní jednotka předá správci centrálního systému účetních informací státu údaje nutné pro autentizaci zodpovědné osoby podle přílohy č. 14 k této vyhlášce v souladu s Technickým manuálem centrálního systému účetních informací státu.</w:t>
      </w:r>
    </w:p>
    <w:p>
      <w:pPr>
        <w:ind w:left="560" w:right="0"/>
      </w:pPr>
      <w:r>
        <w:rPr>
          <w:b/>
          <w:bCs/>
        </w:rPr>
        <w:t xml:space="preserve">(3)</w:t>
      </w:r>
      <w:r>
        <w:rPr/>
        <w:t xml:space="preserve"> Správce centrálního systému účetních informací státu zruší přístupy k centrálnímu systému účetních informací státu zodpovědné osobě, která za posledních 18 měsíců neprovedla úspěšné přihlášení do centrálního systému účetních informací státu.</w:t>
      </w:r>
    </w:p>
    <w:p>
      <w:pPr>
        <w:ind w:left="560" w:right="0"/>
      </w:pPr>
      <w:r>
        <w:rPr>
          <w:b/>
          <w:bCs/>
        </w:rPr>
        <w:t xml:space="preserve">(4)</w:t>
      </w:r>
      <w:r>
        <w:rPr/>
        <w:t xml:space="preserve"> V případě přenosu účetních záznamů do centrálního systému účetních informací státu podle </w:t>
      </w:r>
      <w:hyperlink r:id="rId49" w:history="1">
        <w:r>
          <w:rPr>
            <w:color w:val="darkblue"/>
            <w:u w:val="single"/>
          </w:rPr>
          <w:t xml:space="preserve">§ 5</w:t>
        </w:r>
      </w:hyperlink>
      <w:r>
        <w:rPr/>
        <w:t xml:space="preserve"> odst. 5 písm. b) a </w:t>
      </w:r>
      <w:hyperlink r:id="rId49" w:history="1">
        <w:r>
          <w:rPr>
            <w:color w:val="darkblue"/>
            <w:u w:val="single"/>
          </w:rPr>
          <w:t xml:space="preserve">§ 5</w:t>
        </w:r>
      </w:hyperlink>
      <w:r>
        <w:rPr/>
        <w:t xml:space="preserve"> odst. 6 písm. b) se použijí ustanovení této vyhlášky týkající se zodpovědné osoby přiměřeně pro krajský úřad příslušného kraje.</w:t>
      </w:r>
    </w:p>
    <w:p>
      <w:pPr>
        <w:ind w:left="560" w:right="0"/>
      </w:pPr>
      <w:r>
        <w:rPr>
          <w:b/>
          <w:bCs/>
        </w:rPr>
        <w:t xml:space="preserve">(5)</w:t>
      </w:r>
      <w:r>
        <w:rPr/>
        <w:t xml:space="preserve"> V případě technologického, bezpečnostního nebo operativního organizačního opatření může správce centrálního systému účetních informací státu provést změnu v registraci zodpovědné osoby. O takovémto postupu správce centrálního systému účetních informací státu neprodleně informuje dotčenou vybranou účetní jednotku a dotčenou zodpovědnou osobu.“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17.</w:t>
      </w:r>
      <w:r>
        <w:rPr/>
        <w:t xml:space="preserve">	</w:t>
      </w:r>
      <w:r>
        <w:rPr/>
        <w:t xml:space="preserve">V </w:t>
      </w:r>
      <w:hyperlink r:id="rId50" w:history="1">
        <w:r>
          <w:rPr>
            <w:color w:val="darkblue"/>
            <w:u w:val="single"/>
          </w:rPr>
          <w:t xml:space="preserve">§ 16</w:t>
        </w:r>
      </w:hyperlink>
      <w:r>
        <w:rPr/>
        <w:t xml:space="preserve"> odst. 1 se slova „nebo náhradní zodpovědné osoby“ zrušují.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18.</w:t>
      </w:r>
      <w:r>
        <w:rPr/>
        <w:t xml:space="preserve">	</w:t>
      </w:r>
      <w:r>
        <w:rPr/>
        <w:t xml:space="preserve">V </w:t>
      </w:r>
      <w:hyperlink r:id="rId50" w:history="1">
        <w:r>
          <w:rPr>
            <w:color w:val="darkblue"/>
            <w:u w:val="single"/>
          </w:rPr>
          <w:t xml:space="preserve">§ 16</w:t>
        </w:r>
      </w:hyperlink>
      <w:r>
        <w:rPr/>
        <w:t xml:space="preserve"> odst. 2 se slova „a náhradní zodpovědné osoby“ zrušují.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19.</w:t>
      </w:r>
      <w:r>
        <w:rPr/>
        <w:t xml:space="preserve">	</w:t>
      </w:r>
      <w:hyperlink r:id="rId51" w:history="1">
        <w:r>
          <w:rPr>
            <w:color w:val="darkblue"/>
            <w:u w:val="single"/>
          </w:rPr>
          <w:t xml:space="preserve">§ 17</w:t>
        </w:r>
      </w:hyperlink>
      <w:r>
        <w:rPr/>
        <w:t xml:space="preserve"> až </w:t>
      </w:r>
      <w:hyperlink r:id="rId52" w:history="1">
        <w:r>
          <w:rPr>
            <w:color w:val="darkblue"/>
            <w:u w:val="single"/>
          </w:rPr>
          <w:t xml:space="preserve">22</w:t>
        </w:r>
      </w:hyperlink>
      <w:r>
        <w:rPr/>
        <w:t xml:space="preserve"> se včetně nadpisů zrušují.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20.</w:t>
      </w:r>
      <w:r>
        <w:rPr/>
        <w:t xml:space="preserve">	</w:t>
      </w:r>
      <w:r>
        <w:rPr/>
        <w:t xml:space="preserve">Přílohy č. 1, 2, 6 až 9, 12 a 13 se zrušují.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21.</w:t>
      </w:r>
      <w:r>
        <w:rPr/>
        <w:t xml:space="preserve">	</w:t>
      </w:r>
      <w:r>
        <w:rPr/>
        <w:t xml:space="preserve">Příloha č. 14 včetně nadpisu zní:</w:t>
      </w:r>
    </w:p>
    <w:p>
      <w:pPr>
        <w:pStyle w:val="Heading2"/>
      </w:pPr>
      <w:r>
        <w:rPr>
          <w:sz w:val="24"/>
          <w:szCs w:val="24"/>
          <w:b/>
          <w:bCs/>
        </w:rPr>
        <w:t xml:space="preserve">„Příloha č. 14 k vyhlášce č. </w:t>
      </w:r>
      <w:hyperlink r:id="rId7" w:history="1">
        <w:r>
          <w:rPr>
            <w:color w:val="darkblue"/>
            <w:u w:val="single"/>
          </w:rPr>
          <w:t xml:space="preserve">383/2009 Sb.</w:t>
        </w:r>
      </w:hyperlink>
      <w:r>
        <w:rPr>
          <w:rStyle w:val="hidden"/>
        </w:rPr>
        <w:t xml:space="preserve"> -</w:t>
      </w:r>
      <w:br/>
      <w:r>
        <w:rPr/>
        <w:t xml:space="preserve">Informace a způsob jejich předávání mezi vybranou účetní jednotkou a centrálním systémem účetních informací státu v souvislosti s registrací zodpovědných osob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1.</w:t>
      </w:r>
      <w:r>
        <w:rPr/>
        <w:t xml:space="preserve">	</w:t>
      </w:r>
      <w:r>
        <w:rPr/>
        <w:t xml:space="preserve">Identifikace vybrané účetní jednotky: název účetní jednotky, identifikační číslo, adresa sídla, adresa pro doručování, elektronická adresa, telefonní číslo, identifikátor datové schránky, jméno, popřípadě jména, a příjmení statutárního orgánu nebo jím pověřené osoby, rozsah vedení účetnictví.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2.</w:t>
      </w:r>
      <w:r>
        <w:rPr/>
        <w:t xml:space="preserve">	</w:t>
      </w:r>
      <w:r>
        <w:rPr/>
        <w:t xml:space="preserve">Identifikace zodpovědné osoby: jméno, popřípadě jména, a příjmení, elektronická adresa, telefonní číslo, registrační číslo zodpovědné osoby, je-li v centrálním systému účetních informací státu přiděleno.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3.</w:t>
      </w:r>
      <w:r>
        <w:rPr/>
        <w:t xml:space="preserve">	</w:t>
      </w:r>
      <w:r>
        <w:rPr/>
        <w:t xml:space="preserve">Úkony dostupné vybrané účetní jednotce:</w:t>
      </w:r>
    </w:p>
    <w:p>
      <w:pPr>
        <w:ind w:left="1300" w:right="0" w:hanging="1300"/>
        <w:tabs>
          <w:tab w:val="right" w:leader="none" w:pos="1240"/>
          <w:tab w:val="left" w:leader="none" w:pos="1300"/>
        </w:tabs>
      </w:pPr>
      <w:r>
        <w:rPr/>
        <w:t xml:space="preserve">	</w:t>
      </w:r>
      <w:r>
        <w:rPr>
          <w:b/>
          <w:bCs/>
        </w:rPr>
        <w:t xml:space="preserve">a)</w:t>
      </w:r>
      <w:r>
        <w:rPr/>
        <w:t xml:space="preserve">	</w:t>
      </w:r>
      <w:r>
        <w:rPr/>
        <w:t xml:space="preserve">žádost o registraci zodpovědné osoby,</w:t>
      </w:r>
    </w:p>
    <w:p>
      <w:pPr>
        <w:ind w:left="1300" w:right="0" w:hanging="1300"/>
        <w:tabs>
          <w:tab w:val="right" w:leader="none" w:pos="1240"/>
          <w:tab w:val="left" w:leader="none" w:pos="1300"/>
        </w:tabs>
      </w:pPr>
      <w:r>
        <w:rPr/>
        <w:t xml:space="preserve">	</w:t>
      </w:r>
      <w:r>
        <w:rPr>
          <w:b/>
          <w:bCs/>
        </w:rPr>
        <w:t xml:space="preserve">b)</w:t>
      </w:r>
      <w:r>
        <w:rPr/>
        <w:t xml:space="preserve">	</w:t>
      </w:r>
      <w:r>
        <w:rPr/>
        <w:t xml:space="preserve">zpřístupnění výpisu aktuálních údajů vedených v CSÚIS o vybrané účetní jednotce,</w:t>
      </w:r>
    </w:p>
    <w:p>
      <w:pPr>
        <w:ind w:left="1300" w:right="0" w:hanging="1300"/>
        <w:tabs>
          <w:tab w:val="right" w:leader="none" w:pos="1240"/>
          <w:tab w:val="left" w:leader="none" w:pos="1300"/>
        </w:tabs>
      </w:pPr>
      <w:r>
        <w:rPr/>
        <w:t xml:space="preserve">	</w:t>
      </w:r>
      <w:r>
        <w:rPr>
          <w:b/>
          <w:bCs/>
        </w:rPr>
        <w:t xml:space="preserve">c)</w:t>
      </w:r>
      <w:r>
        <w:rPr/>
        <w:t xml:space="preserve">	</w:t>
      </w:r>
      <w:r>
        <w:rPr/>
        <w:t xml:space="preserve">aktualizace údajů o vybrané účetní jednotce,</w:t>
      </w:r>
    </w:p>
    <w:p>
      <w:pPr>
        <w:ind w:left="1300" w:right="0" w:hanging="1300"/>
        <w:tabs>
          <w:tab w:val="right" w:leader="none" w:pos="1240"/>
          <w:tab w:val="left" w:leader="none" w:pos="1300"/>
        </w:tabs>
      </w:pPr>
      <w:r>
        <w:rPr/>
        <w:t xml:space="preserve">	</w:t>
      </w:r>
      <w:r>
        <w:rPr>
          <w:b/>
          <w:bCs/>
        </w:rPr>
        <w:t xml:space="preserve">d)</w:t>
      </w:r>
      <w:r>
        <w:rPr/>
        <w:t xml:space="preserve">	</w:t>
      </w:r>
      <w:r>
        <w:rPr/>
        <w:t xml:space="preserve">aktualizace údajů o zodpovědné osobě,</w:t>
      </w:r>
    </w:p>
    <w:p>
      <w:pPr>
        <w:ind w:left="1300" w:right="0" w:hanging="1300"/>
        <w:tabs>
          <w:tab w:val="right" w:leader="none" w:pos="1240"/>
          <w:tab w:val="left" w:leader="none" w:pos="1300"/>
        </w:tabs>
      </w:pPr>
      <w:r>
        <w:rPr/>
        <w:t xml:space="preserve">	</w:t>
      </w:r>
      <w:r>
        <w:rPr>
          <w:b/>
          <w:bCs/>
        </w:rPr>
        <w:t xml:space="preserve">e)</w:t>
      </w:r>
      <w:r>
        <w:rPr/>
        <w:t xml:space="preserve">	</w:t>
      </w:r>
      <w:r>
        <w:rPr/>
        <w:t xml:space="preserve">ukončení registrace zodpovědné osoby.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4.</w:t>
      </w:r>
      <w:r>
        <w:rPr/>
        <w:t xml:space="preserve">	</w:t>
      </w:r>
      <w:r>
        <w:rPr/>
        <w:t xml:space="preserve">Registrace a aktualizace údajů o zodpovědné osobě ze strany vybrané účetní jednotky probíhá na webovém portálu centrálního systému účetních informací státu.“</w:t>
      </w:r>
    </w:p>
    <w:p>
      <w:pPr>
        <w:pStyle w:val="Heading1"/>
      </w:pPr>
      <w:r>
        <w:rPr>
          <w:b/>
          <w:bCs/>
        </w:rPr>
        <w:t xml:space="preserve">Čl. II</w:t>
      </w:r>
      <w:r>
        <w:rPr>
          <w:rStyle w:val="hidden"/>
        </w:rPr>
        <w:t xml:space="preserve"> -</w:t>
      </w:r>
      <w:br/>
      <w:r>
        <w:rPr/>
        <w:t xml:space="preserve">Přechodná ustanovení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1.</w:t>
      </w:r>
      <w:r>
        <w:rPr/>
        <w:t xml:space="preserve">	</w:t>
      </w:r>
      <w:r>
        <w:rPr/>
        <w:t xml:space="preserve">Náhradní zodpovědné osoby podle vyhlášky č. </w:t>
      </w:r>
      <w:hyperlink r:id="rId7" w:history="1">
        <w:r>
          <w:rPr>
            <w:color w:val="darkblue"/>
            <w:u w:val="single"/>
          </w:rPr>
          <w:t xml:space="preserve">383/2009 Sb.</w:t>
        </w:r>
      </w:hyperlink>
      <w:r>
        <w:rPr/>
        <w:t xml:space="preserve">, ve znění účinném přede dnem nabytí účinnosti této vyhlášky, se dnem nabytí účinnosti této vyhlášky považují za zodpovědné osoby podle </w:t>
      </w:r>
      <w:hyperlink r:id="rId53" w:history="1">
        <w:r>
          <w:rPr>
            <w:color w:val="darkblue"/>
            <w:u w:val="single"/>
          </w:rPr>
          <w:t xml:space="preserve">§ 15</w:t>
        </w:r>
      </w:hyperlink>
      <w:r>
        <w:rPr/>
        <w:t xml:space="preserve"> vyhlášky č. </w:t>
      </w:r>
      <w:hyperlink r:id="rId7" w:history="1">
        <w:r>
          <w:rPr>
            <w:color w:val="darkblue"/>
            <w:u w:val="single"/>
          </w:rPr>
          <w:t xml:space="preserve">383/2009 Sb.</w:t>
        </w:r>
      </w:hyperlink>
      <w:r>
        <w:rPr/>
        <w:t xml:space="preserve">, ve znění účinném ode dne nabytí účinnosti této vyhlášky.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2.</w:t>
      </w:r>
      <w:r>
        <w:rPr/>
        <w:t xml:space="preserve">	</w:t>
      </w:r>
      <w:r>
        <w:rPr/>
        <w:t xml:space="preserve">Ustanovení </w:t>
      </w:r>
      <w:hyperlink r:id="rId39" w:history="1">
        <w:r>
          <w:rPr>
            <w:color w:val="darkblue"/>
            <w:u w:val="single"/>
          </w:rPr>
          <w:t xml:space="preserve">§ 3</w:t>
        </w:r>
      </w:hyperlink>
      <w:r>
        <w:rPr/>
        <w:t xml:space="preserve"> až </w:t>
      </w:r>
      <w:hyperlink r:id="rId47" w:history="1">
        <w:r>
          <w:rPr>
            <w:color w:val="darkblue"/>
            <w:u w:val="single"/>
          </w:rPr>
          <w:t xml:space="preserve">14</w:t>
        </w:r>
      </w:hyperlink>
      <w:r>
        <w:rPr/>
        <w:t xml:space="preserve">, </w:t>
      </w:r>
      <w:hyperlink r:id="rId54" w:history="1">
        <w:r>
          <w:rPr>
            <w:color w:val="darkblue"/>
            <w:u w:val="single"/>
          </w:rPr>
          <w:t xml:space="preserve">§ 18</w:t>
        </w:r>
      </w:hyperlink>
      <w:r>
        <w:rPr/>
        <w:t xml:space="preserve"> a přílohy č. 1, 6 a 9 vyhlášky č. </w:t>
      </w:r>
      <w:hyperlink r:id="rId7" w:history="1">
        <w:r>
          <w:rPr>
            <w:color w:val="darkblue"/>
            <w:u w:val="single"/>
          </w:rPr>
          <w:t xml:space="preserve">383/2009 Sb.</w:t>
        </w:r>
      </w:hyperlink>
      <w:r>
        <w:rPr/>
        <w:t xml:space="preserve">, ve znění účinném přede dnem nabytí účinnosti této vyhlášky, lze použít do 31. prosince 2024.</w:t>
      </w:r>
    </w:p>
    <w:p>
      <w:pPr>
        <w:pStyle w:val="Heading1"/>
      </w:pPr>
      <w:r>
        <w:rPr>
          <w:b/>
          <w:bCs/>
        </w:rPr>
        <w:t xml:space="preserve">Čl. III</w:t>
      </w:r>
      <w:r>
        <w:rPr>
          <w:rStyle w:val="hidden"/>
        </w:rPr>
        <w:t xml:space="preserve"> -</w:t>
      </w:r>
      <w:br/>
      <w:r>
        <w:rPr/>
        <w:t xml:space="preserve">Účinnost</w:t>
      </w:r>
    </w:p>
    <w:p>
      <w:pPr>
        <w:ind w:left="0" w:right="0"/>
      </w:pPr>
      <w:r>
        <w:rPr/>
        <w:t xml:space="preserve">Tato vyhláška nabývá účinnosti dnem 1. července 2024.</w:t>
      </w:r>
    </w:p>
    <w:p>
      <w:pPr>
        <w:spacing w:after="0"/>
      </w:pPr>
      <w:pPr>
        <w:rPr/>
      </w:pPr>
    </w:p>
    <w:p>
      <w:pPr>
        <w:jc w:val="center"/>
        <w:ind w:left="0" w:right="0"/>
        <w:spacing w:after="0"/>
      </w:pPr>
      <w:r>
        <w:rPr/>
        <w:t xml:space="preserve">Ministr financí:</w:t>
      </w:r>
    </w:p>
    <w:p>
      <w:pPr>
        <w:jc w:val="center"/>
        <w:ind w:left="0" w:right="0"/>
        <w:spacing w:after="0"/>
      </w:pPr>
      <w:r>
        <w:rPr/>
        <w:t xml:space="preserve">Ing. </w:t>
      </w:r>
      <w:r>
        <w:rPr>
          <w:b/>
          <w:bCs/>
        </w:rPr>
        <w:t xml:space="preserve">Stanjura</w:t>
      </w:r>
      <w:r>
        <w:rPr/>
        <w:t xml:space="preserve"> v. r.</w:t>
      </w:r>
    </w:p>
    <w:sectPr>
      <w:headerReference w:type="default" r:id="rId55"/>
      <w:footerReference w:type="default" r:id="rId56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center"/>
    </w:pPr>
    <w:r>
      <w:rPr>
        <w:rStyle w:val="bold"/>
      </w:rPr>
      <w:t xml:space="preserve">- </w:t>
    </w:r>
    <w:r>
      <w:fldChar w:fldCharType="begin"/>
    </w:r>
    <w:r>
      <w:rPr>
        <w:rStyle w:val="bold"/>
      </w:rPr>
      <w:instrText xml:space="preserve">PAGE</w:instrText>
    </w:r>
    <w:r>
      <w:fldChar w:fldCharType="separate"/>
    </w:r>
    <w:r>
      <w:fldChar w:fldCharType="end"/>
    </w:r>
    <w:r>
      <w:rPr>
        <w:rStyle w:val="bold"/>
      </w:rPr>
      <w:t xml:space="preserve"> / </w:t>
    </w:r>
    <w:r>
      <w:fldChar w:fldCharType="begin"/>
    </w:r>
    <w:r>
      <w:rPr>
        <w:rStyle w:val="bold"/>
      </w:rPr>
      <w:instrText xml:space="preserve">NUMPAGES</w:instrText>
    </w:r>
    <w:r>
      <w:fldChar w:fldCharType="separate"/>
    </w:r>
    <w:r>
      <w:fldChar w:fldCharType="end"/>
    </w:r>
    <w:r>
      <w:rPr>
        <w:rStyle w:val="bold"/>
      </w:rPr>
      <w:t xml:space="preserve"> -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500" w:type="dxa"/>
      <w:gridCol w:w="500" w:type="dxa"/>
    </w:tblGrid>
    <w:tblPr>
      <w:tblW w:w="5000" w:type="pct"/>
    </w:tblPr>
    <w:tr>
      <w:trPr/>
      <w:tc>
        <w:tcPr>
          <w:tcW w:w="3500" w:type="dxa"/>
        </w:tcPr>
        <w:p>
          <w:pPr/>
          <w:r>
            <w:rPr>
              <w:rStyle w:val="bold"/>
            </w:rPr>
            <w:t xml:space="preserve">96/2024 Sb.</w:t>
          </w:r>
          <w:r>
            <w:rPr/>
            <w:t xml:space="preserve"> - původní znění</w:t>
          </w:r>
        </w:p>
      </w:tc>
      <w:tc>
        <w:tcPr>
          <w:tcW w:w="500" w:type="dxa"/>
        </w:tcPr>
        <w:p>
          <w:pPr>
            <w:pStyle w:val="right"/>
          </w:pPr>
          <w:hyperlink r:id="rId1" w:history="1">
            <w:r>
              <w:rPr>
                <w:rStyle w:val="bold"/>
              </w:rPr>
              <w:t xml:space="preserve">esipa.cz</w:t>
            </w:r>
          </w:hyperlink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cs-cz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  <w:lang w:val="cs-cz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bold"/>
    <w:rPr>
      <w:b/>
      <w:bCs/>
    </w:rPr>
  </w:style>
  <w:style w:type="character">
    <w:name w:val="hidden"/>
    <w:rPr>
      <w:color w:val="#FFFFFF"/>
      <w:sz w:val="2"/>
      <w:szCs w:val="2"/>
    </w:rPr>
  </w:style>
  <w:style w:type="paragraph" w:customStyle="1" w:styleId="center">
    <w:name w:val="center"/>
    <w:basedOn w:val="Normal"/>
    <w:pPr>
      <w:jc w:val="center"/>
    </w:pPr>
  </w:style>
  <w:style w:type="paragraph" w:customStyle="1" w:styleId="right">
    <w:name w:val="right"/>
    <w:basedOn w:val="Normal"/>
    <w:pPr>
      <w:jc w:val="right"/>
    </w:pPr>
  </w:style>
  <w:style w:type="paragraph" w:styleId="Heading1">
    <w:link w:val="Heading1Char"/>
    <w:name w:val="heading 1"/>
    <w:basedOn w:val="Normal"/>
    <w:pPr>
      <w:jc w:val="center"/>
      <w:spacing w:before="700" w:line="192" w:lineRule="auto"/>
    </w:pPr>
    <w:rPr>
      <w:sz w:val="36"/>
      <w:szCs w:val="36"/>
    </w:rPr>
  </w:style>
  <w:style w:type="paragraph" w:styleId="Heading2">
    <w:link w:val="Heading2Char"/>
    <w:name w:val="heading 2"/>
    <w:basedOn w:val="Normal"/>
    <w:pPr>
      <w:jc w:val="center"/>
      <w:spacing w:before="700" w:line="192" w:lineRule="auto"/>
    </w:pPr>
    <w:rPr>
      <w:sz w:val="36"/>
      <w:szCs w:val="36"/>
    </w:rPr>
  </w:style>
  <w:style w:type="paragraph" w:styleId="Heading3">
    <w:link w:val="Heading3Char"/>
    <w:name w:val="heading 3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4">
    <w:link w:val="Heading4Char"/>
    <w:name w:val="heading 4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5">
    <w:link w:val="Heading5Char"/>
    <w:name w:val="heading 5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6">
    <w:link w:val="Heading6Char"/>
    <w:name w:val="heading 6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7">
    <w:link w:val="Heading7Char"/>
    <w:name w:val="heading 7"/>
    <w:basedOn w:val="Normal"/>
    <w:pPr>
      <w:jc w:val="center"/>
      <w:spacing w:before="700" w:line="192" w:lineRule="auto"/>
    </w:pPr>
    <w:rPr>
      <w:sz w:val="33.599999999999994"/>
      <w:szCs w:val="33.59999999999999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sipa.cz/sbirka/sbsrv.dll/sb?DR=SB&amp;CP=2009s383" TargetMode="External"/><Relationship Id="rId8" Type="http://schemas.openxmlformats.org/officeDocument/2006/relationships/hyperlink" Target="https://esipa.cz/sbirka/sbsrv.dll/sb?DR=AZ&amp;CP=1991s563-2023s349#P37B" TargetMode="External"/><Relationship Id="rId9" Type="http://schemas.openxmlformats.org/officeDocument/2006/relationships/hyperlink" Target="https://esipa.cz/sbirka/sbsrv.dll/sb?DR=SB&amp;CP=1991s563" TargetMode="External"/><Relationship Id="rId10" Type="http://schemas.openxmlformats.org/officeDocument/2006/relationships/hyperlink" Target="https://esipa.cz/sbirka/sbsrv.dll/sb?DR=SB&amp;CP=2003s437" TargetMode="External"/><Relationship Id="rId11" Type="http://schemas.openxmlformats.org/officeDocument/2006/relationships/hyperlink" Target="https://esipa.cz/sbirka/sbsrv.dll/sb?DR=SB&amp;CP=2008s304" TargetMode="External"/><Relationship Id="rId12" Type="http://schemas.openxmlformats.org/officeDocument/2006/relationships/hyperlink" Target="https://esipa.cz/sbirka/sbsrv.dll/sb?DR=SB&amp;CP=2015s221" TargetMode="External"/><Relationship Id="rId13" Type="http://schemas.openxmlformats.org/officeDocument/2006/relationships/hyperlink" Target="https://esipa.cz/sbirka/sbsrv.dll/sb?DR=SB&amp;CP=2016s462" TargetMode="External"/><Relationship Id="rId14" Type="http://schemas.openxmlformats.org/officeDocument/2006/relationships/hyperlink" Target="https://esipa.cz/sbirka/sbsrv.dll/sb?DR=AZ&amp;CP=1991s563-2023s349#P4" TargetMode="External"/><Relationship Id="rId15" Type="http://schemas.openxmlformats.org/officeDocument/2006/relationships/hyperlink" Target="https://esipa.cz/sbirka/sbsrv.dll/sb?DR=AZ&amp;CP=2000s218-2023s349#P20" TargetMode="External"/><Relationship Id="rId16" Type="http://schemas.openxmlformats.org/officeDocument/2006/relationships/hyperlink" Target="https://esipa.cz/sbirka/sbsrv.dll/sb?DR=AZ&amp;CP=2000s218-2023s349#P30" TargetMode="External"/><Relationship Id="rId17" Type="http://schemas.openxmlformats.org/officeDocument/2006/relationships/hyperlink" Target="https://esipa.cz/sbirka/sbsrv.dll/sb?DR=AZ&amp;CP=2000s218-2023s349#P47" TargetMode="External"/><Relationship Id="rId18" Type="http://schemas.openxmlformats.org/officeDocument/2006/relationships/hyperlink" Target="https://esipa.cz/sbirka/sbsrv.dll/sb?DR=SB&amp;CP=2000s218" TargetMode="External"/><Relationship Id="rId19" Type="http://schemas.openxmlformats.org/officeDocument/2006/relationships/hyperlink" Target="https://esipa.cz/sbirka/sbsrv.dll/sb?DR=SB&amp;CP=2002s320" TargetMode="External"/><Relationship Id="rId20" Type="http://schemas.openxmlformats.org/officeDocument/2006/relationships/hyperlink" Target="https://esipa.cz/sbirka/sbsrv.dll/sb?DR=SB&amp;CP=2004s482" TargetMode="External"/><Relationship Id="rId21" Type="http://schemas.openxmlformats.org/officeDocument/2006/relationships/hyperlink" Target="https://esipa.cz/sbirka/sbsrv.dll/sb?DR=SB&amp;CP=2008s026" TargetMode="External"/><Relationship Id="rId22" Type="http://schemas.openxmlformats.org/officeDocument/2006/relationships/hyperlink" Target="https://esipa.cz/sbirka/sbsrv.dll/sb?DR=SB&amp;CP=2009s421" TargetMode="External"/><Relationship Id="rId23" Type="http://schemas.openxmlformats.org/officeDocument/2006/relationships/hyperlink" Target="https://esipa.cz/sbirka/sbsrv.dll/sb?DR=SB&amp;CP=2015s025" TargetMode="External"/><Relationship Id="rId24" Type="http://schemas.openxmlformats.org/officeDocument/2006/relationships/hyperlink" Target="https://esipa.cz/sbirka/sbsrv.dll/sb?DR=SB&amp;CP=2016s128" TargetMode="External"/><Relationship Id="rId25" Type="http://schemas.openxmlformats.org/officeDocument/2006/relationships/hyperlink" Target="https://esipa.cz/sbirka/sbsrv.dll/sb?DR=SB&amp;CP=2020s484" TargetMode="External"/><Relationship Id="rId26" Type="http://schemas.openxmlformats.org/officeDocument/2006/relationships/hyperlink" Target="https://esipa.cz/sbirka/sbsrv.dll/sb?DR=SB&amp;CP=2021s251" TargetMode="External"/><Relationship Id="rId27" Type="http://schemas.openxmlformats.org/officeDocument/2006/relationships/hyperlink" Target="https://esipa.cz/sbirka/sbsrv.dll/sb?DR=SB&amp;CP=2010s434" TargetMode="External"/><Relationship Id="rId28" Type="http://schemas.openxmlformats.org/officeDocument/2006/relationships/hyperlink" Target="https://esipa.cz/sbirka/sbsrv.dll/sb?DR=SB&amp;CP=2011s437" TargetMode="External"/><Relationship Id="rId29" Type="http://schemas.openxmlformats.org/officeDocument/2006/relationships/hyperlink" Target="https://esipa.cz/sbirka/sbsrv.dll/sb?DR=SB&amp;CP=2012s461" TargetMode="External"/><Relationship Id="rId30" Type="http://schemas.openxmlformats.org/officeDocument/2006/relationships/hyperlink" Target="https://esipa.cz/sbirka/sbsrv.dll/sb?DR=SB&amp;CP=2013s472" TargetMode="External"/><Relationship Id="rId31" Type="http://schemas.openxmlformats.org/officeDocument/2006/relationships/hyperlink" Target="https://esipa.cz/sbirka/sbsrv.dll/sb?DR=SB&amp;CP=2014s300" TargetMode="External"/><Relationship Id="rId32" Type="http://schemas.openxmlformats.org/officeDocument/2006/relationships/hyperlink" Target="https://esipa.cz/sbirka/sbsrv.dll/sb?DR=SB&amp;CP=2015s370" TargetMode="External"/><Relationship Id="rId33" Type="http://schemas.openxmlformats.org/officeDocument/2006/relationships/hyperlink" Target="https://esipa.cz/sbirka/sbsrv.dll/sb?DR=SB&amp;CP=2016s447" TargetMode="External"/><Relationship Id="rId34" Type="http://schemas.openxmlformats.org/officeDocument/2006/relationships/hyperlink" Target="https://esipa.cz/sbirka/sbsrv.dll/sb?DR=SB&amp;CP=2017s274" TargetMode="External"/><Relationship Id="rId35" Type="http://schemas.openxmlformats.org/officeDocument/2006/relationships/hyperlink" Target="https://esipa.cz/sbirka/sbsrv.dll/sb?DR=SB&amp;CP=2017s398" TargetMode="External"/><Relationship Id="rId36" Type="http://schemas.openxmlformats.org/officeDocument/2006/relationships/hyperlink" Target="https://esipa.cz/sbirka/sbsrv.dll/sb?DR=SB&amp;CP=2021s341" TargetMode="External"/><Relationship Id="rId37" Type="http://schemas.openxmlformats.org/officeDocument/2006/relationships/hyperlink" Target="https://esipa.cz/sbirka/sbsrv.dll/sb?DR=SB&amp;CP=2021s430" TargetMode="External"/><Relationship Id="rId38" Type="http://schemas.openxmlformats.org/officeDocument/2006/relationships/hyperlink" Target="https://esipa.cz/sbirka/sbsrv.dll/sb?DR=AZ&amp;CP=2009s383-2021s430#P2" TargetMode="External"/><Relationship Id="rId39" Type="http://schemas.openxmlformats.org/officeDocument/2006/relationships/hyperlink" Target="https://esipa.cz/sbirka/sbsrv.dll/sb?DR=AZ&amp;CP=2009s383-2021s430#P3" TargetMode="External"/><Relationship Id="rId40" Type="http://schemas.openxmlformats.org/officeDocument/2006/relationships/hyperlink" Target="https://esipa.cz/sbirka/sbsrv.dll/sb?DR=AZ&amp;CP=2009s383-2021s430#P4" TargetMode="External"/><Relationship Id="rId41" Type="http://schemas.openxmlformats.org/officeDocument/2006/relationships/hyperlink" Target="https://esipa.cz/sbirka/sbsrv.dll/sb?DR=AZ&amp;CP=2009s383-2024s096#P3" TargetMode="External"/><Relationship Id="rId42" Type="http://schemas.openxmlformats.org/officeDocument/2006/relationships/hyperlink" Target="https://esipa.cz/sbirka/sbsrv.dll/sb?DR=AZ&amp;CP=2009s383-2024s096#P3A" TargetMode="External"/><Relationship Id="rId43" Type="http://schemas.openxmlformats.org/officeDocument/2006/relationships/hyperlink" Target="https://esipa.cz/sbirka/sbsrv.dll/sb?DR=AZ&amp;CP=2009s383-2021s430#P6" TargetMode="External"/><Relationship Id="rId44" Type="http://schemas.openxmlformats.org/officeDocument/2006/relationships/hyperlink" Target="https://esipa.cz/sbirka/sbsrv.dll/sb?DR=AZ&amp;CP=2009s383-2021s430#P7" TargetMode="External"/><Relationship Id="rId45" Type="http://schemas.openxmlformats.org/officeDocument/2006/relationships/hyperlink" Target="https://esipa.cz/sbirka/sbsrv.dll/sb?DR=AZ&amp;CP=2009s383-2021s430#P8" TargetMode="External"/><Relationship Id="rId46" Type="http://schemas.openxmlformats.org/officeDocument/2006/relationships/hyperlink" Target="https://esipa.cz/sbirka/sbsrv.dll/sb?DR=AZ&amp;CP=2009s383-2021s430#P9" TargetMode="External"/><Relationship Id="rId47" Type="http://schemas.openxmlformats.org/officeDocument/2006/relationships/hyperlink" Target="https://esipa.cz/sbirka/sbsrv.dll/sb?DR=AZ&amp;CP=2009s383-2021s430#P14" TargetMode="External"/><Relationship Id="rId48" Type="http://schemas.openxmlformats.org/officeDocument/2006/relationships/hyperlink" Target="https://esipa.cz/sbirka/sbsrv.dll/sb?DR=AZ&amp;CP=2009s383-2021s430#P15" TargetMode="External"/><Relationship Id="rId49" Type="http://schemas.openxmlformats.org/officeDocument/2006/relationships/hyperlink" Target="https://esipa.cz/sbirka/sbsrv.dll/sb?DR=AZ&amp;CP=2009s383-2024s096#P5" TargetMode="External"/><Relationship Id="rId50" Type="http://schemas.openxmlformats.org/officeDocument/2006/relationships/hyperlink" Target="https://esipa.cz/sbirka/sbsrv.dll/sb?DR=AZ&amp;CP=2009s383-2021s430#P16" TargetMode="External"/><Relationship Id="rId51" Type="http://schemas.openxmlformats.org/officeDocument/2006/relationships/hyperlink" Target="https://esipa.cz/sbirka/sbsrv.dll/sb?DR=AZ&amp;CP=2009s383-2021s430#P17" TargetMode="External"/><Relationship Id="rId52" Type="http://schemas.openxmlformats.org/officeDocument/2006/relationships/hyperlink" Target="https://esipa.cz/sbirka/sbsrv.dll/sb?DR=AZ&amp;CP=2009s383-2021s430#P22" TargetMode="External"/><Relationship Id="rId53" Type="http://schemas.openxmlformats.org/officeDocument/2006/relationships/hyperlink" Target="https://esipa.cz/sbirka/sbsrv.dll/sb?DR=AZ&amp;CP=2009s383-2024s096#P15" TargetMode="External"/><Relationship Id="rId54" Type="http://schemas.openxmlformats.org/officeDocument/2006/relationships/hyperlink" Target="https://esipa.cz/sbirka/sbsrv.dll/sb?DR=AZ&amp;CP=2009s383-2021s430#P18" TargetMode="External"/><Relationship Id="rId55" Type="http://schemas.openxmlformats.org/officeDocument/2006/relationships/header" Target="header1.xml"/><Relationship Id="rId56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hyperlink" Target="https://esipa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ESIPA s.r.o.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ESIPA s.r.o.</dc:creator>
  <dc:title>96/2024 Sb. - původní znění</dc:title>
  <dc:description>Vyhláška, kterou se mění vyhláška č. 383/2009 Sb., o účetních záznamech v technické formě vybraných účetních jednotek a jejich předávání do centrálního systému účetních informací státu a o požadavcích na technické a smíšené formy účetních záznamů (technická vyhláška o účetních záznamech), ve znění pozdějších předpisů</dc:description>
  <dc:subject/>
  <cp:keywords/>
  <cp:category/>
  <cp:lastModifiedBy/>
  <dcterms:created xsi:type="dcterms:W3CDTF">2024-07-01T00:00:00+02:00</dcterms:created>
  <dcterms:modified xsi:type="dcterms:W3CDTF">2024-04-25T11:12:39+02:00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