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87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ÚSTAVNÍ ZÁKON</w:t>
      </w:r>
    </w:p>
    <w:p>
      <w:pPr>
        <w:jc w:val="center"/>
        <w:ind w:left="0" w:right="0"/>
        <w:spacing w:after="0"/>
      </w:pPr>
      <w:r>
        <w:rPr/>
        <w:t xml:space="preserve">ze dne 6. března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ústavní zákon č. </w:t>
      </w:r>
      <w:hyperlink r:id="rId7" w:history="1">
        <w:r>
          <w:rPr>
            <w:color w:val="darkblue"/>
            <w:u w:val="single"/>
          </w:rPr>
          <w:t xml:space="preserve">1/1993 Sb.</w:t>
        </w:r>
      </w:hyperlink>
      <w:r>
        <w:rPr>
          <w:b/>
          <w:bCs/>
        </w:rPr>
        <w:t xml:space="preserve">, Ústava České republiky, ve znění pozdějších ústavních zákonů, a ústavní zákon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>
          <w:b/>
          <w:bCs/>
        </w:rPr>
        <w:t xml:space="preserve">, o bezpečnosti České republiky, ve znění ústavního zákona č. </w:t>
      </w:r>
      <w:hyperlink r:id="rId9" w:history="1">
        <w:r>
          <w:rPr>
            <w:color w:val="darkblue"/>
            <w:u w:val="single"/>
          </w:rPr>
          <w:t xml:space="preserve">300/2000 Sb.</w:t>
        </w:r>
      </w:hyperlink>
    </w:p>
    <w:p/>
    <w:p>
      <w:pPr>
        <w:jc w:val="left"/>
        <w:ind w:left="0" w:right="0"/>
        <w:spacing w:after="0"/>
      </w:pPr>
      <w:r>
        <w:rPr/>
        <w:t xml:space="preserve">Parlament se usnesl na tomto ústavním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Ústavy České republiky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Ústavní zákon č. </w:t>
      </w:r>
      <w:hyperlink r:id="rId7" w:history="1">
        <w:r>
          <w:rPr>
            <w:color w:val="darkblue"/>
            <w:u w:val="single"/>
          </w:rPr>
          <w:t xml:space="preserve">1/1993 Sb.</w:t>
        </w:r>
      </w:hyperlink>
      <w:r>
        <w:rPr/>
        <w:t xml:space="preserve">, Ústava České republiky, ve znění ústavního zákona č. </w:t>
      </w:r>
      <w:hyperlink r:id="rId10" w:history="1">
        <w:r>
          <w:rPr>
            <w:color w:val="darkblue"/>
            <w:u w:val="single"/>
          </w:rPr>
          <w:t xml:space="preserve">347/1997 Sb.</w:t>
        </w:r>
      </w:hyperlink>
      <w:r>
        <w:rPr/>
        <w:t xml:space="preserve">, ústavního zákona č. </w:t>
      </w:r>
      <w:hyperlink r:id="rId9" w:history="1">
        <w:r>
          <w:rPr>
            <w:color w:val="darkblue"/>
            <w:u w:val="single"/>
          </w:rPr>
          <w:t xml:space="preserve">300/2000 Sb.</w:t>
        </w:r>
      </w:hyperlink>
      <w:r>
        <w:rPr/>
        <w:t xml:space="preserve">, ústavního zákona č. </w:t>
      </w:r>
      <w:hyperlink r:id="rId11" w:history="1">
        <w:r>
          <w:rPr>
            <w:color w:val="darkblue"/>
            <w:u w:val="single"/>
          </w:rPr>
          <w:t xml:space="preserve">395/2001 Sb.</w:t>
        </w:r>
      </w:hyperlink>
      <w:r>
        <w:rPr/>
        <w:t xml:space="preserve">, ústavního zákona č. </w:t>
      </w:r>
      <w:hyperlink r:id="rId12" w:history="1">
        <w:r>
          <w:rPr>
            <w:color w:val="darkblue"/>
            <w:u w:val="single"/>
          </w:rPr>
          <w:t xml:space="preserve">448/2001 Sb.</w:t>
        </w:r>
      </w:hyperlink>
      <w:r>
        <w:rPr/>
        <w:t xml:space="preserve">, ústavního zákona č. </w:t>
      </w:r>
      <w:hyperlink r:id="rId13" w:history="1">
        <w:r>
          <w:rPr>
            <w:color w:val="darkblue"/>
            <w:u w:val="single"/>
          </w:rPr>
          <w:t xml:space="preserve">515/2002 Sb.</w:t>
        </w:r>
      </w:hyperlink>
      <w:r>
        <w:rPr/>
        <w:t xml:space="preserve">, ústavního zákona č. </w:t>
      </w:r>
      <w:hyperlink r:id="rId14" w:history="1">
        <w:r>
          <w:rPr>
            <w:color w:val="darkblue"/>
            <w:u w:val="single"/>
          </w:rPr>
          <w:t xml:space="preserve">319/2009 Sb.</w:t>
        </w:r>
      </w:hyperlink>
      <w:r>
        <w:rPr/>
        <w:t xml:space="preserve">, ústavního zákona č. </w:t>
      </w:r>
      <w:hyperlink r:id="rId15" w:history="1">
        <w:r>
          <w:rPr>
            <w:color w:val="darkblue"/>
            <w:u w:val="single"/>
          </w:rPr>
          <w:t xml:space="preserve">71/2012 Sb.</w:t>
        </w:r>
      </w:hyperlink>
      <w:r>
        <w:rPr/>
        <w:t xml:space="preserve"> a ústavního zákona č. </w:t>
      </w:r>
      <w:hyperlink r:id="rId16" w:history="1">
        <w:r>
          <w:rPr>
            <w:color w:val="darkblue"/>
            <w:u w:val="single"/>
          </w:rPr>
          <w:t xml:space="preserve">98/2013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čl. 16</w:t>
        </w:r>
      </w:hyperlink>
      <w:r>
        <w:rPr/>
        <w:t xml:space="preserve"> se na konci odstavce 2 doplňují věty „Územní vymezení volebních obvodů pro volby do Senátu stanoví zákon. Je-li to nezbytné k zachování rovnosti volebního práva, zákon o územním vymezení volebních obvodů se změní; tuto změnu v územním vymezení volebních obvodů lze provést nejdříve po uplynutí dvanácti let od poslední takové změny územního vymezení volebních obvodů.“.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čl. 17</w:t>
        </w:r>
      </w:hyperlink>
      <w:r>
        <w:rPr/>
        <w:t xml:space="preserve"> odst. 1 se slova „obou komor“ nahrazují slovy „Poslanecké sněmovny“.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čl. 17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Volby do Senátu se konají v prvním celém týdnu měsíce října. Stanoví-li zákon, že se tyto volby mohou konat ve více kolech, platí to pro první kolo.“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čl. 102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Volební období zastupitelstev je čtyřleté. Volby do zastupitelstev se konají v prvním celém týdnu měsíce října roku, v němž volební období uplyne.“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čl. 102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Další podmínky výkonu volebního práva, podmínky konání voleb před uplynutím volebního období, organizaci voleb a rozsah soudního přezkumu stanoví zákon.“</w:t>
      </w:r>
    </w:p>
    <w:p>
      <w:pPr>
        <w:pStyle w:val="Heading2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Ústavní zákon č. </w:t>
      </w:r>
      <w:hyperlink r:id="rId7" w:history="1">
        <w:r>
          <w:rPr>
            <w:color w:val="darkblue"/>
            <w:u w:val="single"/>
          </w:rPr>
          <w:t xml:space="preserve">1/1993 Sb.</w:t>
        </w:r>
      </w:hyperlink>
      <w:r>
        <w:rPr/>
        <w:t xml:space="preserve">, ve znění účinném ode dne nabytí účinnosti tohoto ústavního zákona, se poprvé použije ve volbách vyhlášených po nabytí účinnosti tohoto ústavního zákona.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Změna územního vymezení volebních obvodů pro volby do Senátu podle </w:t>
      </w:r>
      <w:hyperlink r:id="rId20" w:history="1">
        <w:r>
          <w:rPr>
            <w:color w:val="darkblue"/>
            <w:u w:val="single"/>
          </w:rPr>
          <w:t xml:space="preserve">čl. 16</w:t>
        </w:r>
      </w:hyperlink>
      <w:r>
        <w:rPr/>
        <w:t xml:space="preserve"> odst. 2 ústavního zákona č. </w:t>
      </w:r>
      <w:hyperlink r:id="rId7" w:history="1">
        <w:r>
          <w:rPr>
            <w:color w:val="darkblue"/>
            <w:u w:val="single"/>
          </w:rPr>
          <w:t xml:space="preserve">1/1993 Sb.</w:t>
        </w:r>
      </w:hyperlink>
      <w:r>
        <w:rPr/>
        <w:t xml:space="preserve">, ve znění účinném ode dne nabytí účinnosti tohoto ústavního zákona, se poprvé provede v roce 2028, bude-li to nezbytné k zachování rovnosti volebního práva.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ústavního zákona o bezpečnosti České republiky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čl. 10</w:t>
        </w:r>
      </w:hyperlink>
      <w:r>
        <w:rPr/>
        <w:t xml:space="preserve"> 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se dosavadní text označuje jako odstavec 1 a doplňuje se odstavec 2, který zní:</w:t>
      </w:r>
    </w:p>
    <w:p>
      <w:pPr>
        <w:ind w:left="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Bylo-li volební období prodlouženo třetině senátorů nebo zastupitelstvům územních samosprávných celků, následující volební období se o dobu tohoto prodloužení zkracuje.“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Tento ústavní zákon nabývá účinnosti dnem 1. ledna 2026.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Pavel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sectPr>
      <w:headerReference w:type="default" r:id="rId22"/>
      <w:footerReference w:type="default" r:id="rId2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87/2024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3s001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SB&amp;CP=2000s300" TargetMode="External"/><Relationship Id="rId10" Type="http://schemas.openxmlformats.org/officeDocument/2006/relationships/hyperlink" Target="https://esipa.cz/sbirka/sbsrv.dll/sb?DR=SB&amp;CP=1997s347" TargetMode="External"/><Relationship Id="rId11" Type="http://schemas.openxmlformats.org/officeDocument/2006/relationships/hyperlink" Target="https://esipa.cz/sbirka/sbsrv.dll/sb?DR=SB&amp;CP=2001s395" TargetMode="External"/><Relationship Id="rId12" Type="http://schemas.openxmlformats.org/officeDocument/2006/relationships/hyperlink" Target="https://esipa.cz/sbirka/sbsrv.dll/sb?DR=SB&amp;CP=2001s448" TargetMode="External"/><Relationship Id="rId13" Type="http://schemas.openxmlformats.org/officeDocument/2006/relationships/hyperlink" Target="https://esipa.cz/sbirka/sbsrv.dll/sb?DR=SB&amp;CP=2002s515" TargetMode="External"/><Relationship Id="rId14" Type="http://schemas.openxmlformats.org/officeDocument/2006/relationships/hyperlink" Target="https://esipa.cz/sbirka/sbsrv.dll/sb?DR=SB&amp;CP=2009s319" TargetMode="External"/><Relationship Id="rId15" Type="http://schemas.openxmlformats.org/officeDocument/2006/relationships/hyperlink" Target="https://esipa.cz/sbirka/sbsrv.dll/sb?DR=SB&amp;CP=2012s071" TargetMode="External"/><Relationship Id="rId16" Type="http://schemas.openxmlformats.org/officeDocument/2006/relationships/hyperlink" Target="https://esipa.cz/sbirka/sbsrv.dll/sb?DR=SB&amp;CP=2013s098" TargetMode="External"/><Relationship Id="rId17" Type="http://schemas.openxmlformats.org/officeDocument/2006/relationships/hyperlink" Target="https://esipa.cz/sbirka/sbsrv.dll/sb?DR=AZ&amp;CP=1993s001-2013s098#H02_CL016" TargetMode="External"/><Relationship Id="rId18" Type="http://schemas.openxmlformats.org/officeDocument/2006/relationships/hyperlink" Target="https://esipa.cz/sbirka/sbsrv.dll/sb?DR=AZ&amp;CP=1993s001-2013s098#H02_CL017" TargetMode="External"/><Relationship Id="rId19" Type="http://schemas.openxmlformats.org/officeDocument/2006/relationships/hyperlink" Target="https://esipa.cz/sbirka/sbsrv.dll/sb?DR=AZ&amp;CP=1993s001-2013s098#H07_CL102" TargetMode="External"/><Relationship Id="rId20" Type="http://schemas.openxmlformats.org/officeDocument/2006/relationships/hyperlink" Target="https://esipa.cz/sbirka/sbsrv.dll/sb?DR=AZ&amp;CP=1993s001-2024s087#CL16" TargetMode="External"/><Relationship Id="rId21" Type="http://schemas.openxmlformats.org/officeDocument/2006/relationships/hyperlink" Target="https://esipa.cz/sbirka/sbsrv.dll/sb?DR=AZ&amp;CP=1998s110-2000s300#CL010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87/2024 Sb. - původní znění</dc:title>
  <dc:description>Ústavní zákon, kterým se mění ústavní zákon č. 1/1993 Sb., Ústava České republiky, ve znění pozdějších ústavních zákonů, a ústavní zákon č. 110/1998 Sb., o bezpečnosti České republiky, ve znění ústavního zákona č. 300/2000 Sb.</dc:description>
  <dc:subject/>
  <cp:keywords/>
  <cp:category/>
  <cp:lastModifiedBy/>
  <dcterms:created xsi:type="dcterms:W3CDTF">2026-01-01T00:00:00+01:00</dcterms:created>
  <dcterms:modified xsi:type="dcterms:W3CDTF">2024-05-06T11:00:48+02:00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