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132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11. května 2023,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177/1995 Sb.</w:t>
        </w:r>
      </w:hyperlink>
      <w:r>
        <w:rPr>
          <w:b/>
          <w:bCs/>
        </w:rPr>
        <w:t xml:space="preserve">, kterou se vydává stavební a technický řád drah,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dopravy stanoví podle </w:t>
      </w:r>
      <w:hyperlink r:id="rId8" w:history="1">
        <w:r>
          <w:rPr>
            <w:color w:val="darkblue"/>
            <w:u w:val="single"/>
          </w:rPr>
          <w:t xml:space="preserve">§ 66</w:t>
        </w:r>
      </w:hyperlink>
      <w:r>
        <w:rPr/>
        <w:t xml:space="preserve"> odst. 1 a 3 zákona č. </w:t>
      </w:r>
      <w:hyperlink r:id="rId9" w:history="1">
        <w:r>
          <w:rPr>
            <w:color w:val="darkblue"/>
            <w:u w:val="single"/>
          </w:rPr>
          <w:t xml:space="preserve">266/1994 Sb.</w:t>
        </w:r>
      </w:hyperlink>
      <w:r>
        <w:rPr/>
        <w:t xml:space="preserve">, o dráhách, ve znění zákona č. </w:t>
      </w:r>
      <w:hyperlink r:id="rId10" w:history="1">
        <w:r>
          <w:rPr>
            <w:color w:val="darkblue"/>
            <w:u w:val="single"/>
          </w:rPr>
          <w:t xml:space="preserve">23/2000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103/2004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181/2006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191/2006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194/2010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134/2011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64/2014 Sb.</w:t>
        </w:r>
      </w:hyperlink>
      <w:r>
        <w:rPr/>
        <w:t xml:space="preserve">, zákona č. </w:t>
      </w:r>
      <w:hyperlink r:id="rId17" w:history="1">
        <w:r>
          <w:rPr>
            <w:color w:val="darkblue"/>
            <w:u w:val="single"/>
          </w:rPr>
          <w:t xml:space="preserve">319/2016 Sb.</w:t>
        </w:r>
      </w:hyperlink>
      <w:r>
        <w:rPr/>
        <w:t xml:space="preserve">, zákona č. </w:t>
      </w:r>
      <w:hyperlink r:id="rId18" w:history="1">
        <w:r>
          <w:rPr>
            <w:color w:val="darkblue"/>
            <w:u w:val="single"/>
          </w:rPr>
          <w:t xml:space="preserve">367/2019 Sb.</w:t>
        </w:r>
      </w:hyperlink>
      <w:r>
        <w:rPr/>
        <w:t xml:space="preserve"> a zákona č. </w:t>
      </w:r>
      <w:hyperlink r:id="rId19" w:history="1">
        <w:r>
          <w:rPr>
            <w:color w:val="darkblue"/>
            <w:u w:val="single"/>
          </w:rPr>
          <w:t xml:space="preserve">426/2021 Sb.</w:t>
        </w:r>
      </w:hyperlink>
      <w:r>
        <w:rPr/>
        <w:t xml:space="preserve">, (dále jen „zákon“) k provedení </w:t>
      </w:r>
      <w:hyperlink r:id="rId20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5, </w:t>
      </w:r>
      <w:hyperlink r:id="rId21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1, </w:t>
      </w:r>
      <w:hyperlink r:id="rId22" w:history="1">
        <w:r>
          <w:rPr>
            <w:color w:val="darkblue"/>
            <w:u w:val="single"/>
          </w:rPr>
          <w:t xml:space="preserve">§ 20</w:t>
        </w:r>
      </w:hyperlink>
      <w:r>
        <w:rPr/>
        <w:t xml:space="preserve"> odst. 4 a </w:t>
      </w:r>
      <w:hyperlink r:id="rId23" w:history="1">
        <w:r>
          <w:rPr>
            <w:color w:val="darkblue"/>
            <w:u w:val="single"/>
          </w:rPr>
          <w:t xml:space="preserve">§ 49o</w:t>
        </w:r>
      </w:hyperlink>
      <w:r>
        <w:rPr/>
        <w:t xml:space="preserve"> odst. 9 zákona: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177/1995 Sb.</w:t>
        </w:r>
      </w:hyperlink>
      <w:r>
        <w:rPr/>
        <w:t xml:space="preserve">, kterou se vydává stavební a technický řád drah, ve znění vyhlášky č. </w:t>
      </w:r>
      <w:hyperlink r:id="rId24" w:history="1">
        <w:r>
          <w:rPr>
            <w:color w:val="darkblue"/>
            <w:u w:val="single"/>
          </w:rPr>
          <w:t xml:space="preserve">243/1996 Sb.</w:t>
        </w:r>
      </w:hyperlink>
      <w:r>
        <w:rPr/>
        <w:t xml:space="preserve">, vyhlášky č. </w:t>
      </w:r>
      <w:hyperlink r:id="rId25" w:history="1">
        <w:r>
          <w:rPr>
            <w:color w:val="darkblue"/>
            <w:u w:val="single"/>
          </w:rPr>
          <w:t xml:space="preserve">346/2000 Sb.</w:t>
        </w:r>
      </w:hyperlink>
      <w:r>
        <w:rPr/>
        <w:t xml:space="preserve">, vyhlášky č. </w:t>
      </w:r>
      <w:hyperlink r:id="rId26" w:history="1">
        <w:r>
          <w:rPr>
            <w:color w:val="darkblue"/>
            <w:u w:val="single"/>
          </w:rPr>
          <w:t xml:space="preserve">413/2001 Sb.</w:t>
        </w:r>
      </w:hyperlink>
      <w:r>
        <w:rPr/>
        <w:t xml:space="preserve">, vyhlášky č. </w:t>
      </w:r>
      <w:hyperlink r:id="rId27" w:history="1">
        <w:r>
          <w:rPr>
            <w:color w:val="darkblue"/>
            <w:u w:val="single"/>
          </w:rPr>
          <w:t xml:space="preserve">577/2004 Sb.</w:t>
        </w:r>
      </w:hyperlink>
      <w:r>
        <w:rPr/>
        <w:t xml:space="preserve">, vyhlášky č. </w:t>
      </w:r>
      <w:hyperlink r:id="rId28" w:history="1">
        <w:r>
          <w:rPr>
            <w:color w:val="darkblue"/>
            <w:u w:val="single"/>
          </w:rPr>
          <w:t xml:space="preserve">58/2013 Sb.</w:t>
        </w:r>
      </w:hyperlink>
      <w:r>
        <w:rPr/>
        <w:t xml:space="preserve">, vyhlášky č. </w:t>
      </w:r>
      <w:hyperlink r:id="rId29" w:history="1">
        <w:r>
          <w:rPr>
            <w:color w:val="darkblue"/>
            <w:u w:val="single"/>
          </w:rPr>
          <w:t xml:space="preserve">8/2015 Sb.</w:t>
        </w:r>
      </w:hyperlink>
      <w:r>
        <w:rPr/>
        <w:t xml:space="preserve">, vyhlášky č. </w:t>
      </w:r>
      <w:hyperlink r:id="rId30" w:history="1">
        <w:r>
          <w:rPr>
            <w:color w:val="darkblue"/>
            <w:u w:val="single"/>
          </w:rPr>
          <w:t xml:space="preserve">117/2017 Sb.</w:t>
        </w:r>
      </w:hyperlink>
      <w:r>
        <w:rPr/>
        <w:t xml:space="preserve">, vyhlášky č. </w:t>
      </w:r>
      <w:hyperlink r:id="rId31" w:history="1">
        <w:r>
          <w:rPr>
            <w:color w:val="darkblue"/>
            <w:u w:val="single"/>
          </w:rPr>
          <w:t xml:space="preserve">48/2018 Sb.</w:t>
        </w:r>
      </w:hyperlink>
      <w:r>
        <w:rPr/>
        <w:t xml:space="preserve"> a vyhlášky č. </w:t>
      </w:r>
      <w:hyperlink r:id="rId32" w:history="1">
        <w:r>
          <w:rPr>
            <w:color w:val="darkblue"/>
            <w:u w:val="single"/>
          </w:rPr>
          <w:t xml:space="preserve">269/2020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úvodní větě vyhlášky se slova „</w:t>
      </w:r>
      <w:hyperlink r:id="rId33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3, </w:t>
      </w:r>
      <w:hyperlink r:id="rId34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1, </w:t>
      </w:r>
      <w:hyperlink r:id="rId35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2 a </w:t>
      </w:r>
      <w:hyperlink r:id="rId36" w:history="1">
        <w:r>
          <w:rPr>
            <w:color w:val="darkblue"/>
            <w:u w:val="single"/>
          </w:rPr>
          <w:t xml:space="preserve">§ 20</w:t>
        </w:r>
      </w:hyperlink>
      <w:r>
        <w:rPr/>
        <w:t xml:space="preserve"> odst. 3“ nahrazují slovy „</w:t>
      </w:r>
      <w:hyperlink r:id="rId3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5, </w:t>
      </w:r>
      <w:hyperlink r:id="rId3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a 2, </w:t>
      </w:r>
      <w:hyperlink r:id="rId39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1, </w:t>
      </w:r>
      <w:hyperlink r:id="rId40" w:history="1">
        <w:r>
          <w:rPr>
            <w:color w:val="darkblue"/>
            <w:u w:val="single"/>
          </w:rPr>
          <w:t xml:space="preserve">§ 20</w:t>
        </w:r>
      </w:hyperlink>
      <w:r>
        <w:rPr/>
        <w:t xml:space="preserve"> odst. 4 a </w:t>
      </w:r>
      <w:hyperlink r:id="rId41" w:history="1">
        <w:r>
          <w:rPr>
            <w:color w:val="darkblue"/>
            <w:u w:val="single"/>
          </w:rPr>
          <w:t xml:space="preserve">§ 49o</w:t>
        </w:r>
      </w:hyperlink>
      <w:r>
        <w:rPr/>
        <w:t xml:space="preserve"> odst. 9“.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33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2 písmeno a)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„a)</w:t>
      </w:r>
      <w:r>
        <w:rPr/>
        <w:t xml:space="preserve">	</w:t>
      </w:r>
      <w:r>
        <w:rPr/>
        <w:t xml:space="preserve">technická způsobilost určených technických zařízení doložená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průkazem způsobilosti určeného technického zařízení,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ES prohlášením o shodě nebo vhodnosti pro použití, jde-li o zařízení, které je prvkem interoperability, nebo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ES prohlášením o ověření, jde-li o zařízení, které je subsystémem,“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42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se doplňuje odstavec 12,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(12)</w:t>
      </w:r>
      <w:r>
        <w:rPr/>
        <w:t xml:space="preserve"> Na dráze budované pro rychlost vyšší než 200 km/h, nejde-li o úsek v tunelu, musí být zachován mezi stavbami, pevnými zařízeními nebo jinými překážkami a přilehlou kolejí této dráhy volný prostor z důvodu ochrany staveb a pevných zařízení před aerodynamickým zatížením. Volný prostor nesmí sloužit ke skladování předmětů, které nejsou pevně spojeny se zemí, nestanoví-li provozovatel dráhy jinak.“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43" w:history="1">
        <w:r>
          <w:rPr>
            <w:color w:val="darkblue"/>
            <w:u w:val="single"/>
          </w:rPr>
          <w:t xml:space="preserve">§ 16</w:t>
        </w:r>
      </w:hyperlink>
      <w:r>
        <w:rPr/>
        <w:t xml:space="preserve"> se za odstavec 1 vkládá nový odstavec 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Na dráze budované pro rychlost vyšší než 160 km/h není přípustné zřizovat přechod určený pro cestující nebo veřejnost.“</w:t>
      </w:r>
    </w:p>
    <w:p>
      <w:pPr>
        <w:ind w:left="560" w:right="0"/>
      </w:pPr>
      <w:r>
        <w:rPr/>
        <w:t xml:space="preserve">Dosavadní odstavce 2 až 6 se označují jako odstavce 3 až 7.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43" w:history="1">
        <w:r>
          <w:rPr>
            <w:color w:val="darkblue"/>
            <w:u w:val="single"/>
          </w:rPr>
          <w:t xml:space="preserve">§ 16</w:t>
        </w:r>
      </w:hyperlink>
      <w:r>
        <w:rPr/>
        <w:t xml:space="preserve"> odst. 7 větě první se číslo „4“ nahrazuje číslem „5“.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44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 se doplňuje odstavec 4,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(4)</w:t>
      </w:r>
      <w:r>
        <w:rPr/>
        <w:t xml:space="preserve"> V dopravně na dráze budované pro rychlost vyšší než 200 km/h musí být chráněna přímou boční ochranou zajištěnou výhradně odvratnou kolejí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hlavní a předjízdná staniční kolej od manipulační koleje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hlavní kolej od předjízdné staniční koleje.“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45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1 písm. d) bod 3 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„3.</w:t>
      </w:r>
      <w:r>
        <w:rPr/>
        <w:t xml:space="preserve">	</w:t>
      </w:r>
      <w:r>
        <w:rPr/>
        <w:t xml:space="preserve">jde-li o trať dráhy celostátní nebo regionální, evropským vlakovým zabezpečovacím systémem</w:t>
      </w:r>
      <w:hyperlink r:id="rId46" w:history="1">
        <w:r>
          <w:rPr>
            <w:color w:val="darkblue"/>
            <w:u w:val="single"/>
          </w:rPr>
          <w:t xml:space="preserve">6)</w:t>
        </w:r>
      </w:hyperlink>
      <w:r>
        <w:rPr/>
        <w:t xml:space="preserve">, nebo“</w:t>
      </w:r>
    </w:p>
    <w:p>
      <w:pPr>
        <w:ind w:left="560" w:right="0"/>
      </w:pPr>
      <w:r>
        <w:rPr/>
        <w:t xml:space="preserve">Poznámka pod čarou č. 6 zní:</w:t>
      </w:r>
    </w:p>
    <w:p>
      <w:pPr>
        <w:spacing w:after="200"/>
      </w:pPr>
      <w:pPr>
        <w:rPr/>
      </w:pPr>
    </w:p>
    <w:p>
      <w:pPr/>
      <w:r>
        <w:pict>
          <v:shape id="_x0000_s1031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„6)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Komise </w:t>
      </w:r>
      <w:hyperlink r:id="rId47" w:history="1">
        <w:r>
          <w:rPr>
            <w:color w:val="darkblue"/>
            <w:u w:val="single"/>
          </w:rPr>
          <w:t xml:space="preserve">(EU) 2016/919</w:t>
        </w:r>
      </w:hyperlink>
      <w:r>
        <w:rPr>
          <w:sz w:val="19.200000000000003"/>
          <w:szCs w:val="19.200000000000003"/>
        </w:rPr>
        <w:t xml:space="preserve"> ze dne 27. května 2016 o technické specifikaci pro interoperabilitu týkající se subsystémů „Řízení a zabezpečení“ železničního systému v Evropské unii, v platném znění.“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45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1 písm. d) bodě 4 se slova „vlakovým zabezpečovacím systémem ERTMS/ETCS podle předpisu Evropské unie“ nahrazují slovy „evropským vlakovým zabezpečovacím systémem</w:t>
      </w:r>
      <w:hyperlink r:id="rId46" w:history="1">
        <w:r>
          <w:rPr>
            <w:color w:val="darkblue"/>
            <w:u w:val="single"/>
          </w:rPr>
          <w:t xml:space="preserve">6)</w:t>
        </w:r>
      </w:hyperlink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45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se doplňuje odstavec 7,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(7)</w:t>
      </w:r>
      <w:r>
        <w:rPr/>
        <w:t xml:space="preserve"> Pro obsluhu zabezpečovacího zařízení na dráze budované pro rychlost vyšší než 200 km/h se zřizuje záložní pracoviště umístěné odlišně od hlavního pracoviště.“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Za </w:t>
      </w:r>
      <w:hyperlink r:id="rId48" w:history="1">
        <w:r>
          <w:rPr>
            <w:color w:val="darkblue"/>
            <w:u w:val="single"/>
          </w:rPr>
          <w:t xml:space="preserve">§ 24</w:t>
        </w:r>
      </w:hyperlink>
      <w:r>
        <w:rPr/>
        <w:t xml:space="preserve"> se vkládají nové § 24a a 24b, které včetně nadpisu a poznámky pod čarou č. 8 znějí:</w:t>
      </w:r>
    </w:p>
    <w:p>
      <w:pPr>
        <w:pStyle w:val="Heading2"/>
      </w:pPr>
      <w:r>
        <w:rPr>
          <w:b/>
          <w:bCs/>
        </w:rPr>
        <w:t xml:space="preserve">„§ 24a</w:t>
      </w:r>
    </w:p>
    <w:p>
      <w:pPr>
        <w:ind w:left="560" w:right="0"/>
      </w:pPr>
      <w:r>
        <w:rPr/>
        <w:t xml:space="preserve">Při rekonstrukci nebo modernizaci stavby dráhy celostátní nebo regionální musí být zajištěno uspořádání elektrických, sdělovacích a zabezpečovacích zařízení umožňující provozování střídavé trakční soustavy o napětí 25 kV s kmitočtem 50 Hz.</w:t>
      </w:r>
    </w:p>
    <w:p>
      <w:pPr>
        <w:pStyle w:val="Heading2"/>
      </w:pPr>
      <w:r>
        <w:rPr>
          <w:b/>
          <w:bCs/>
        </w:rPr>
        <w:t xml:space="preserve">§ 24b</w:t>
      </w:r>
      <w:r>
        <w:rPr>
          <w:rStyle w:val="hidden"/>
        </w:rPr>
        <w:t xml:space="preserve"> -</w:t>
      </w:r>
      <w:br/>
      <w:r>
        <w:rPr/>
        <w:t xml:space="preserve">Technické podmínky a požadavky pro stavbu dráhy celostátní budované pro rychlost vyšší než 200 km/h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Dráha celostátní budovaná pro rychlost vyšší než 200 km/h se navrhuje s ohledem na zajištění její provozní spolehlivosti tak, aby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doba narušení provozování drážní dopravy, za jehož vznik odpovídá provozovatel dráhy, z důvodu poruch součástí dráhy</w:t>
      </w:r>
      <w:r>
        <w:rPr>
          <w:vertAlign w:val="superscript"/>
        </w:rPr>
        <w:t xml:space="preserve">8</w:t>
      </w:r>
      <w:r>
        <w:rPr/>
        <w:t xml:space="preserve">)</w:t>
      </w:r>
      <w:r>
        <w:rPr/>
        <w:t xml:space="preserve">, nepřesáhla 1 minutu na 1 000 vlakových kilometrů na dané části dráhy za období platnosti jízdního řádu,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délka trvání každé jednotlivé poruchy součástí dráhy s narušením provozování drážní dopravy, za jejíž vznik odpovídá provozovatel dráhy</w:t>
      </w:r>
      <w:r>
        <w:rPr>
          <w:vertAlign w:val="superscript"/>
        </w:rPr>
        <w:t xml:space="preserve">8</w:t>
      </w:r>
      <w:r>
        <w:rPr/>
        <w:t xml:space="preserve">)</w:t>
      </w:r>
      <w:r>
        <w:rPr/>
        <w:t xml:space="preserve">, nepřesahovala 200 minut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počet narušení provozování drážní dopravy, za jejichž vznik odpovídá provozovatel dráhy</w:t>
      </w:r>
      <w:r>
        <w:rPr>
          <w:vertAlign w:val="superscript"/>
        </w:rPr>
        <w:t xml:space="preserve">8</w:t>
      </w:r>
      <w:r>
        <w:rPr/>
        <w:t xml:space="preserve">)</w:t>
      </w:r>
      <w:r>
        <w:rPr/>
        <w:t xml:space="preserve">, nebyl vyšší než 15 na 100 km délky dráhy za období platnosti jízdního řádu.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Dráha celostátní budovaná pro rychlost vyšší než 200 km/h musí být zabezpečena proti vniknutí nepovolaných osob, zvěře nebo pádu cizích předmětů na takovou dráhu.</w:t>
      </w:r>
    </w:p>
    <w:p>
      <w:pPr>
        <w:spacing w:after="200"/>
      </w:pPr>
      <w:pPr>
        <w:rPr/>
      </w:pPr>
    </w:p>
    <w:p>
      <w:pPr/>
      <w:r>
        <w:pict>
          <v:shape id="_x0000_s1046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8)</w:t>
      </w:r>
      <w:r>
        <w:rPr/>
        <w:t xml:space="preserve">	</w:t>
      </w:r>
      <w:hyperlink r:id="rId49" w:history="1">
        <w:r>
          <w:rPr>
            <w:color w:val="darkblue"/>
            <w:u w:val="single"/>
          </w:rPr>
          <w:t xml:space="preserve">§ 4</w:t>
        </w:r>
      </w:hyperlink>
      <w:r>
        <w:rPr>
          <w:sz w:val="19.200000000000003"/>
          <w:szCs w:val="19.200000000000003"/>
        </w:rPr>
        <w:t xml:space="preserve"> odst. 1 písm. b) vyhlášky č. </w:t>
      </w:r>
      <w:hyperlink r:id="rId50" w:history="1">
        <w:r>
          <w:rPr>
            <w:color w:val="darkblue"/>
            <w:u w:val="single"/>
          </w:rPr>
          <w:t xml:space="preserve">76/2017 Sb.</w:t>
        </w:r>
      </w:hyperlink>
      <w:r>
        <w:rPr>
          <w:sz w:val="19.200000000000003"/>
          <w:szCs w:val="19.200000000000003"/>
        </w:rPr>
        <w:t xml:space="preserve">, o obsahu a rozsahu služeb poskytovaných dopravci provozovatelem dráhy a provozovatelem zařízení služeb.“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51" w:history="1">
        <w:r>
          <w:rPr>
            <w:color w:val="darkblue"/>
            <w:u w:val="single"/>
          </w:rPr>
          <w:t xml:space="preserve">§ 26</w:t>
        </w:r>
      </w:hyperlink>
      <w:r>
        <w:rPr/>
        <w:t xml:space="preserve"> se doplňují odstavce 5 až 7,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(5)</w:t>
      </w:r>
      <w:r>
        <w:rPr/>
        <w:t xml:space="preserve"> Pr ohlíd k y, měření sta v ebnětechnick ého stavu a ověřování provozních parametrů staveb dráhy vybudované pro rychlost vyšší než 200 km/h se provádí v nočních hodinách mezi dvacátou třetí a pátou hodinou; v jiné době se údržba dráhy provádí pouze ve výjimečných případech a po nezbytně nutnou dobu.</w:t>
      </w:r>
    </w:p>
    <w:p>
      <w:pPr>
        <w:ind w:left="560" w:right="0"/>
      </w:pPr>
      <w:r>
        <w:rPr>
          <w:b/>
          <w:bCs/>
        </w:rPr>
        <w:t xml:space="preserve">(6)</w:t>
      </w:r>
      <w:r>
        <w:rPr/>
        <w:t xml:space="preserve"> Na dráze budované pro rychlost vyšší než 200 km/h se pro zajištění provozuschopnosti dráhy a bezpečnosti drážní dopravy zřizují automatizované diagnostické systémy a provádějí se pravidelné prohlídky a měření staveb ve lhůtách stanovených provozovatelem dráhy v technologických postupech tak, aby byla zajištěna provozní spolehlivost takové dráhy podle § 24b odst. 1 této vyhlášky.</w:t>
      </w:r>
    </w:p>
    <w:p>
      <w:pPr>
        <w:ind w:left="560" w:right="0"/>
      </w:pPr>
      <w:r>
        <w:rPr>
          <w:b/>
          <w:bCs/>
        </w:rPr>
        <w:t xml:space="preserve">(7)</w:t>
      </w:r>
      <w:r>
        <w:rPr/>
        <w:t xml:space="preserve"> Naměřené hodnoty technického stavu a další skutečnosti zjištěné při pravidelných prohlídkách rozhodné pro zajištění provozuschopnosti dráhy, včetně výstupů z automatizovaných diagnostických systémů podle odstavce 6, musí být evidovány prostřednictvím digitálního záznamového systému ve lhůtách stanovených provozovatelem dráhy a uloženy po dobu nejméně 5 let.“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52" w:history="1">
        <w:r>
          <w:rPr>
            <w:color w:val="darkblue"/>
            <w:u w:val="single"/>
          </w:rPr>
          <w:t xml:space="preserve">§ 54</w:t>
        </w:r>
      </w:hyperlink>
      <w:r>
        <w:rPr/>
        <w:t xml:space="preserve"> odst. 2 se číslo „70“ nahrazuje číslem „80“.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53" w:history="1">
        <w:r>
          <w:rPr>
            <w:color w:val="darkblue"/>
            <w:u w:val="single"/>
          </w:rPr>
          <w:t xml:space="preserve">§ 72</w:t>
        </w:r>
      </w:hyperlink>
      <w:r>
        <w:rPr/>
        <w:t xml:space="preserve"> odst. 4 se věta první nahrazuje větou „Vozidla kyvadlové dráhy lanové musí být vybavena průvodcem ovladatelnými nebo dálkově ovládanými vnějšími světlomety a koncovým světlem červené barvy, přepínatelnými podle směru jízdy.“.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54" w:history="1">
        <w:r>
          <w:rPr>
            <w:color w:val="darkblue"/>
            <w:u w:val="single"/>
          </w:rPr>
          <w:t xml:space="preserve">§ 83</w:t>
        </w:r>
      </w:hyperlink>
      <w:r>
        <w:rPr/>
        <w:t xml:space="preserve"> odstavec 7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(7)</w:t>
      </w:r>
      <w:r>
        <w:rPr/>
        <w:t xml:space="preserve"> Vozidla kabinové lanové dráhy musí být vybavena zabezpečenými tlačítky pro nouzové zastavení chodu lanové dráhy.“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Kupka</w:t>
      </w:r>
      <w:r>
        <w:rPr/>
        <w:t xml:space="preserve"> v. r.</w:t>
      </w:r>
    </w:p>
    <w:sectPr>
      <w:headerReference w:type="default" r:id="rId55"/>
      <w:footerReference w:type="default" r:id="rId5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132/2023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5s177" TargetMode="External"/><Relationship Id="rId8" Type="http://schemas.openxmlformats.org/officeDocument/2006/relationships/hyperlink" Target="https://esipa.cz/sbirka/sbsrv.dll/sb?DR=AZ&amp;CP=1994s266-2021s284#P66" TargetMode="External"/><Relationship Id="rId9" Type="http://schemas.openxmlformats.org/officeDocument/2006/relationships/hyperlink" Target="https://esipa.cz/sbirka/sbsrv.dll/sb?DR=SB&amp;CP=1994s266" TargetMode="External"/><Relationship Id="rId10" Type="http://schemas.openxmlformats.org/officeDocument/2006/relationships/hyperlink" Target="https://esipa.cz/sbirka/sbsrv.dll/sb?DR=SB&amp;CP=2000s023" TargetMode="External"/><Relationship Id="rId11" Type="http://schemas.openxmlformats.org/officeDocument/2006/relationships/hyperlink" Target="https://esipa.cz/sbirka/sbsrv.dll/sb?DR=SB&amp;CP=2004s103" TargetMode="External"/><Relationship Id="rId12" Type="http://schemas.openxmlformats.org/officeDocument/2006/relationships/hyperlink" Target="https://esipa.cz/sbirka/sbsrv.dll/sb?DR=SB&amp;CP=2006s181" TargetMode="External"/><Relationship Id="rId13" Type="http://schemas.openxmlformats.org/officeDocument/2006/relationships/hyperlink" Target="https://esipa.cz/sbirka/sbsrv.dll/sb?DR=SB&amp;CP=2006s191" TargetMode="External"/><Relationship Id="rId14" Type="http://schemas.openxmlformats.org/officeDocument/2006/relationships/hyperlink" Target="https://esipa.cz/sbirka/sbsrv.dll/sb?DR=SB&amp;CP=2010s194" TargetMode="External"/><Relationship Id="rId15" Type="http://schemas.openxmlformats.org/officeDocument/2006/relationships/hyperlink" Target="https://esipa.cz/sbirka/sbsrv.dll/sb?DR=SB&amp;CP=2011s134" TargetMode="External"/><Relationship Id="rId16" Type="http://schemas.openxmlformats.org/officeDocument/2006/relationships/hyperlink" Target="https://esipa.cz/sbirka/sbsrv.dll/sb?DR=SB&amp;CP=2014s064" TargetMode="External"/><Relationship Id="rId17" Type="http://schemas.openxmlformats.org/officeDocument/2006/relationships/hyperlink" Target="https://esipa.cz/sbirka/sbsrv.dll/sb?DR=SB&amp;CP=2016s319" TargetMode="External"/><Relationship Id="rId18" Type="http://schemas.openxmlformats.org/officeDocument/2006/relationships/hyperlink" Target="https://esipa.cz/sbirka/sbsrv.dll/sb?DR=SB&amp;CP=2019s367" TargetMode="External"/><Relationship Id="rId19" Type="http://schemas.openxmlformats.org/officeDocument/2006/relationships/hyperlink" Target="https://esipa.cz/sbirka/sbsrv.dll/sb?DR=SB&amp;CP=2021s426" TargetMode="External"/><Relationship Id="rId20" Type="http://schemas.openxmlformats.org/officeDocument/2006/relationships/hyperlink" Target="https://esipa.cz/sbirka/sbsrv.dll/sb?DR=AZ&amp;CP=1994s266-2021s284#P5" TargetMode="External"/><Relationship Id="rId21" Type="http://schemas.openxmlformats.org/officeDocument/2006/relationships/hyperlink" Target="https://esipa.cz/sbirka/sbsrv.dll/sb?DR=AZ&amp;CP=1994s266-2021s284#P7" TargetMode="External"/><Relationship Id="rId22" Type="http://schemas.openxmlformats.org/officeDocument/2006/relationships/hyperlink" Target="https://esipa.cz/sbirka/sbsrv.dll/sb?DR=AZ&amp;CP=1994s266-2021s284#P20" TargetMode="External"/><Relationship Id="rId23" Type="http://schemas.openxmlformats.org/officeDocument/2006/relationships/hyperlink" Target="https://esipa.cz/sbirka/sbsrv.dll/sb?DR=AZ&amp;CP=1994s266-2021s284#P49O" TargetMode="External"/><Relationship Id="rId24" Type="http://schemas.openxmlformats.org/officeDocument/2006/relationships/hyperlink" Target="https://esipa.cz/sbirka/sbsrv.dll/sb?DR=SB&amp;CP=1996s243" TargetMode="External"/><Relationship Id="rId25" Type="http://schemas.openxmlformats.org/officeDocument/2006/relationships/hyperlink" Target="https://esipa.cz/sbirka/sbsrv.dll/sb?DR=SB&amp;CP=2000s346" TargetMode="External"/><Relationship Id="rId26" Type="http://schemas.openxmlformats.org/officeDocument/2006/relationships/hyperlink" Target="https://esipa.cz/sbirka/sbsrv.dll/sb?DR=SB&amp;CP=2001s413" TargetMode="External"/><Relationship Id="rId27" Type="http://schemas.openxmlformats.org/officeDocument/2006/relationships/hyperlink" Target="https://esipa.cz/sbirka/sbsrv.dll/sb?DR=SB&amp;CP=2004s577" TargetMode="External"/><Relationship Id="rId28" Type="http://schemas.openxmlformats.org/officeDocument/2006/relationships/hyperlink" Target="https://esipa.cz/sbirka/sbsrv.dll/sb?DR=SB&amp;CP=2013s058" TargetMode="External"/><Relationship Id="rId29" Type="http://schemas.openxmlformats.org/officeDocument/2006/relationships/hyperlink" Target="https://esipa.cz/sbirka/sbsrv.dll/sb?DR=SB&amp;CP=2015s008" TargetMode="External"/><Relationship Id="rId30" Type="http://schemas.openxmlformats.org/officeDocument/2006/relationships/hyperlink" Target="https://esipa.cz/sbirka/sbsrv.dll/sb?DR=SB&amp;CP=2017s117" TargetMode="External"/><Relationship Id="rId31" Type="http://schemas.openxmlformats.org/officeDocument/2006/relationships/hyperlink" Target="https://esipa.cz/sbirka/sbsrv.dll/sb?DR=SB&amp;CP=2018s048" TargetMode="External"/><Relationship Id="rId32" Type="http://schemas.openxmlformats.org/officeDocument/2006/relationships/hyperlink" Target="https://esipa.cz/sbirka/sbsrv.dll/sb?DR=SB&amp;CP=2020s269" TargetMode="External"/><Relationship Id="rId33" Type="http://schemas.openxmlformats.org/officeDocument/2006/relationships/hyperlink" Target="https://esipa.cz/sbirka/sbsrv.dll/sb?DR=AZ&amp;CP=1995s177-2020s269#P5" TargetMode="External"/><Relationship Id="rId34" Type="http://schemas.openxmlformats.org/officeDocument/2006/relationships/hyperlink" Target="https://esipa.cz/sbirka/sbsrv.dll/sb?DR=AZ&amp;CP=1995s177-2020s269#P6" TargetMode="External"/><Relationship Id="rId35" Type="http://schemas.openxmlformats.org/officeDocument/2006/relationships/hyperlink" Target="https://esipa.cz/sbirka/sbsrv.dll/sb?DR=AZ&amp;CP=1995s177-2020s269#P7" TargetMode="External"/><Relationship Id="rId36" Type="http://schemas.openxmlformats.org/officeDocument/2006/relationships/hyperlink" Target="https://esipa.cz/sbirka/sbsrv.dll/sb?DR=AZ&amp;CP=1995s177-2020s269#P20" TargetMode="External"/><Relationship Id="rId37" Type="http://schemas.openxmlformats.org/officeDocument/2006/relationships/hyperlink" Target="https://esipa.cz/sbirka/sbsrv.dll/sb?DR=AZ&amp;CP=1995s177-2023s132#P5" TargetMode="External"/><Relationship Id="rId38" Type="http://schemas.openxmlformats.org/officeDocument/2006/relationships/hyperlink" Target="https://esipa.cz/sbirka/sbsrv.dll/sb?DR=AZ&amp;CP=1995s177-2023s132#P6" TargetMode="External"/><Relationship Id="rId39" Type="http://schemas.openxmlformats.org/officeDocument/2006/relationships/hyperlink" Target="https://esipa.cz/sbirka/sbsrv.dll/sb?DR=AZ&amp;CP=1995s177-2023s132#P7" TargetMode="External"/><Relationship Id="rId40" Type="http://schemas.openxmlformats.org/officeDocument/2006/relationships/hyperlink" Target="https://esipa.cz/sbirka/sbsrv.dll/sb?DR=AZ&amp;CP=1995s177-2023s132#P20" TargetMode="External"/><Relationship Id="rId41" Type="http://schemas.openxmlformats.org/officeDocument/2006/relationships/hyperlink" Target="https://esipa.cz/sbirka/sbsrv.dll/sb?DR=AZ&amp;CP=1995s177-2023s132#P49O" TargetMode="External"/><Relationship Id="rId42" Type="http://schemas.openxmlformats.org/officeDocument/2006/relationships/hyperlink" Target="https://esipa.cz/sbirka/sbsrv.dll/sb?DR=AZ&amp;CP=1995s177-2020s269#P11" TargetMode="External"/><Relationship Id="rId43" Type="http://schemas.openxmlformats.org/officeDocument/2006/relationships/hyperlink" Target="https://esipa.cz/sbirka/sbsrv.dll/sb?DR=AZ&amp;CP=1995s177-2020s269#P16" TargetMode="External"/><Relationship Id="rId44" Type="http://schemas.openxmlformats.org/officeDocument/2006/relationships/hyperlink" Target="https://esipa.cz/sbirka/sbsrv.dll/sb?DR=AZ&amp;CP=1995s177-2020s269#P19" TargetMode="External"/><Relationship Id="rId45" Type="http://schemas.openxmlformats.org/officeDocument/2006/relationships/hyperlink" Target="https://esipa.cz/sbirka/sbsrv.dll/sb?DR=AZ&amp;CP=1995s177-2020s269#P23" TargetMode="External"/><Relationship Id="rId46" Type="http://schemas.openxmlformats.org/officeDocument/2006/relationships/hyperlink" Target="https://esipa.cz/sbirka/sbsrv.dll/sb?DR=AZ&amp;CP=1995s177-2020s269#note_6" TargetMode="External"/><Relationship Id="rId47" Type="http://schemas.openxmlformats.org/officeDocument/2006/relationships/hyperlink" Target="https://esipa.cz/sbirka/sbsrv.dll/sb?DR=SB&amp;CP=32016R0919" TargetMode="External"/><Relationship Id="rId48" Type="http://schemas.openxmlformats.org/officeDocument/2006/relationships/hyperlink" Target="https://esipa.cz/sbirka/sbsrv.dll/sb?DR=AZ&amp;CP=1995s177-2020s269#P24" TargetMode="External"/><Relationship Id="rId49" Type="http://schemas.openxmlformats.org/officeDocument/2006/relationships/hyperlink" Target="https://esipa.cz/sbirka/sbsrv.dll/sb?DR=SB&amp;CP=2017s076#P004" TargetMode="External"/><Relationship Id="rId50" Type="http://schemas.openxmlformats.org/officeDocument/2006/relationships/hyperlink" Target="https://esipa.cz/sbirka/sbsrv.dll/sb?DR=SB&amp;CP=2017s076" TargetMode="External"/><Relationship Id="rId51" Type="http://schemas.openxmlformats.org/officeDocument/2006/relationships/hyperlink" Target="https://esipa.cz/sbirka/sbsrv.dll/sb?DR=AZ&amp;CP=1995s177-2020s269#P26" TargetMode="External"/><Relationship Id="rId52" Type="http://schemas.openxmlformats.org/officeDocument/2006/relationships/hyperlink" Target="https://esipa.cz/sbirka/sbsrv.dll/sb?DR=AZ&amp;CP=1995s177-2020s269#P54" TargetMode="External"/><Relationship Id="rId53" Type="http://schemas.openxmlformats.org/officeDocument/2006/relationships/hyperlink" Target="https://esipa.cz/sbirka/sbsrv.dll/sb?DR=AZ&amp;CP=1995s177-2020s269#P72" TargetMode="External"/><Relationship Id="rId54" Type="http://schemas.openxmlformats.org/officeDocument/2006/relationships/hyperlink" Target="https://esipa.cz/sbirka/sbsrv.dll/sb?DR=AZ&amp;CP=1995s177-2020s269#P83" TargetMode="External"/><Relationship Id="rId55" Type="http://schemas.openxmlformats.org/officeDocument/2006/relationships/header" Target="header1.xml"/><Relationship Id="rId5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132/2023 Sb. - původní znění</dc:title>
  <dc:description>Vyhláška, kterou se mění vyhláška č. 177/1995 Sb., kterou se vydává stavební a technický řád drah, ve znění pozdějších předpisů</dc:description>
  <dc:subject/>
  <cp:keywords/>
  <cp:category/>
  <cp:lastModifiedBy/>
  <dcterms:created xsi:type="dcterms:W3CDTF">2023-07-01T00:00:00+02:00</dcterms:created>
  <dcterms:modified xsi:type="dcterms:W3CDTF">2023-12-28T12:00:09+01:00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