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128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9. května 2023,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kterou se mění vyhláška č. </w:t>
      </w:r>
      <w:hyperlink r:id="rId7" w:history="1">
        <w:r>
          <w:rPr>
            <w:color w:val="darkblue"/>
            <w:u w:val="single"/>
          </w:rPr>
          <w:t xml:space="preserve">218/2019 Sb.</w:t>
        </w:r>
      </w:hyperlink>
      <w:r>
        <w:rPr>
          <w:b/>
          <w:bCs/>
        </w:rPr>
        <w:t xml:space="preserve">, o výčtu metodik zkoušek odlišnosti, uniformity, stálosti a užitné hodnoty odrůd, ve znění pozdějších předpisů</w:t>
      </w:r>
    </w:p>
    <w:p/>
    <w:p>
      <w:pPr>
        <w:jc w:val="left"/>
        <w:ind w:left="0" w:right="0"/>
        <w:spacing w:after="0"/>
      </w:pPr>
      <w:r>
        <w:rPr/>
        <w:t xml:space="preserve">Ministerstvo zemědělství stanoví podle </w:t>
      </w:r>
      <w:hyperlink r:id="rId8" w:history="1">
        <w:r>
          <w:rPr>
            <w:color w:val="darkblue"/>
            <w:u w:val="single"/>
          </w:rPr>
          <w:t xml:space="preserve">§ 30</w:t>
        </w:r>
      </w:hyperlink>
      <w:r>
        <w:rPr/>
        <w:t xml:space="preserve"> odst. 3 zákona č. </w:t>
      </w:r>
      <w:hyperlink r:id="rId9" w:history="1">
        <w:r>
          <w:rPr>
            <w:color w:val="darkblue"/>
            <w:u w:val="single"/>
          </w:rPr>
          <w:t xml:space="preserve">219/2003 Sb.</w:t>
        </w:r>
      </w:hyperlink>
      <w:r>
        <w:rPr/>
        <w:t xml:space="preserve">, o uvádění do oběhu osiva a sadby pěstovaných rostlin a o změně některých zákonů (zákon o oběhu osiva a sadby), ve znění zákona č. </w:t>
      </w:r>
      <w:hyperlink r:id="rId10" w:history="1">
        <w:r>
          <w:rPr>
            <w:color w:val="darkblue"/>
            <w:u w:val="single"/>
          </w:rPr>
          <w:t xml:space="preserve">178/2006 Sb.</w:t>
        </w:r>
      </w:hyperlink>
      <w:r>
        <w:rPr/>
        <w:t xml:space="preserve"> a zákona č. </w:t>
      </w:r>
      <w:hyperlink r:id="rId11" w:history="1">
        <w:r>
          <w:rPr>
            <w:color w:val="darkblue"/>
            <w:u w:val="single"/>
          </w:rPr>
          <w:t xml:space="preserve">334/2020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Čl. I</w:t>
      </w:r>
    </w:p>
    <w:p>
      <w:pPr>
        <w:ind w:left="0" w:right="0"/>
      </w:pPr>
      <w:r>
        <w:rPr/>
        <w:t xml:space="preserve">Vyhláška č. </w:t>
      </w:r>
      <w:hyperlink r:id="rId7" w:history="1">
        <w:r>
          <w:rPr>
            <w:color w:val="darkblue"/>
            <w:u w:val="single"/>
          </w:rPr>
          <w:t xml:space="preserve">218/2019 Sb.</w:t>
        </w:r>
      </w:hyperlink>
      <w:r>
        <w:rPr/>
        <w:t xml:space="preserve">, o výčtu metodik zkoušek odlišnosti, uniformity, stálosti a užitné hodnoty odrůd, ve znění vyhlášky č. </w:t>
      </w:r>
      <w:hyperlink r:id="rId12" w:history="1">
        <w:r>
          <w:rPr>
            <w:color w:val="darkblue"/>
            <w:u w:val="single"/>
          </w:rPr>
          <w:t xml:space="preserve">256/2020 Sb.</w:t>
        </w:r>
      </w:hyperlink>
      <w:r>
        <w:rPr/>
        <w:t xml:space="preserve">, vyhlášky č. </w:t>
      </w:r>
      <w:hyperlink r:id="rId13" w:history="1">
        <w:r>
          <w:rPr>
            <w:color w:val="darkblue"/>
            <w:u w:val="single"/>
          </w:rPr>
          <w:t xml:space="preserve">447/2021 Sb.</w:t>
        </w:r>
      </w:hyperlink>
      <w:r>
        <w:rPr/>
        <w:t xml:space="preserve"> a vyhlášky č. </w:t>
      </w:r>
      <w:hyperlink r:id="rId14" w:history="1">
        <w:r>
          <w:rPr>
            <w:color w:val="darkblue"/>
            <w:u w:val="single"/>
          </w:rPr>
          <w:t xml:space="preserve">387/2022 Sb.</w:t>
        </w:r>
      </w:hyperlink>
      <w:r>
        <w:rPr/>
        <w:t xml:space="preserve">, se mění takto: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1.</w:t>
      </w:r>
      <w:r>
        <w:rPr/>
        <w:t xml:space="preserve">	</w:t>
      </w:r>
      <w:r>
        <w:rPr/>
        <w:t xml:space="preserve">V poznámce pod čarou č. 1 se na samostatné řádky doplňují věty „Prováděcí směrnice Komise </w:t>
      </w:r>
      <w:hyperlink r:id="rId15" w:history="1">
        <w:r>
          <w:rPr>
            <w:color w:val="darkblue"/>
            <w:u w:val="single"/>
          </w:rPr>
          <w:t xml:space="preserve">(EU) 2022/1647</w:t>
        </w:r>
      </w:hyperlink>
      <w:r>
        <w:rPr/>
        <w:t xml:space="preserve"> ze dne 23. září 2022, kterou se mění směrnice </w:t>
      </w:r>
      <w:hyperlink r:id="rId16" w:history="1">
        <w:r>
          <w:rPr>
            <w:color w:val="darkblue"/>
            <w:u w:val="single"/>
          </w:rPr>
          <w:t xml:space="preserve">2003/90/ES</w:t>
        </w:r>
      </w:hyperlink>
      <w:r>
        <w:rPr/>
        <w:t xml:space="preserve">, pokud jde o odchylku pro ekologické odrůdy druhů zemědělských rostlin vhodných pro ekologickou produkci. Prováděcí směrnice Komise </w:t>
      </w:r>
      <w:hyperlink r:id="rId17" w:history="1">
        <w:r>
          <w:rPr>
            <w:color w:val="darkblue"/>
            <w:u w:val="single"/>
          </w:rPr>
          <w:t xml:space="preserve">(EU) 2022/1648</w:t>
        </w:r>
      </w:hyperlink>
      <w:r>
        <w:rPr/>
        <w:t xml:space="preserve"> ze dne 23. září 2022, kterou se mění směrnice </w:t>
      </w:r>
      <w:hyperlink r:id="rId18" w:history="1">
        <w:r>
          <w:rPr>
            <w:color w:val="darkblue"/>
            <w:u w:val="single"/>
          </w:rPr>
          <w:t xml:space="preserve">2003/91/ES</w:t>
        </w:r>
      </w:hyperlink>
      <w:r>
        <w:rPr/>
        <w:t xml:space="preserve">, pokud jde o odchylku pro ekologické odrůdy druhů zeleniny vhodných pro ekologickou produkci.“.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2.</w:t>
      </w:r>
      <w:r>
        <w:rPr/>
        <w:t xml:space="preserve">	</w:t>
      </w:r>
      <w:r>
        <w:rPr/>
        <w:t xml:space="preserve">V </w:t>
      </w:r>
      <w:hyperlink r:id="rId19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1 písm. a) se text „2.1“ nahrazuje textem „2.1a)“.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3.</w:t>
      </w:r>
      <w:r>
        <w:rPr/>
        <w:t xml:space="preserve">	</w:t>
      </w:r>
      <w:r>
        <w:rPr/>
        <w:t xml:space="preserve">V </w:t>
      </w:r>
      <w:hyperlink r:id="rId19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odst. 3 písm. a) se text „2.1“ nahrazuje textem „2.1a)“.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4.</w:t>
      </w:r>
      <w:r>
        <w:rPr/>
        <w:t xml:space="preserve">	</w:t>
      </w:r>
      <w:r>
        <w:rPr/>
        <w:t xml:space="preserve">V </w:t>
      </w:r>
      <w:hyperlink r:id="rId19" w:history="1">
        <w:r>
          <w:rPr>
            <w:color w:val="darkblue"/>
            <w:u w:val="single"/>
          </w:rPr>
          <w:t xml:space="preserve">§ 4</w:t>
        </w:r>
      </w:hyperlink>
      <w:r>
        <w:rPr/>
        <w:t xml:space="preserve"> se doplňují odstavce 4 až 6, které 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(4)</w:t>
      </w:r>
      <w:r>
        <w:rPr/>
        <w:t xml:space="preserve"> Pokud jde o uniformitu, postačí, pokud ekologické odrůdy vhodné pro ekologickou produkci, které patří k druhům uvedeným v části 1 tabulky č. 2.1b) přílohy č. 2 k této vyhlášce, splňují pouze podmínky uvedené v části 2 tabulky č. 2.1b) přílohy č. 2 k této vyhlášce.</w:t>
      </w:r>
    </w:p>
    <w:p>
      <w:pPr>
        <w:ind w:left="560" w:right="0"/>
      </w:pPr>
      <w:r>
        <w:rPr>
          <w:b/>
          <w:bCs/>
        </w:rPr>
        <w:t xml:space="preserve">(5)</w:t>
      </w:r>
      <w:r>
        <w:rPr/>
        <w:t xml:space="preserve"> Pokud jde o užitnou hodnotu, postačí, pokud ekologické odrůdy vhodné pro ekologickou produkci, které patří k druhům uvedeným v části 1 tabulky č. 2.3c) přílohy č. 2 k této vyhlášce, splňují pouze podmínky uvedené v části 2 tabulky č. 2.3c) přílohy č. 2 k této vyhlášce.</w:t>
      </w:r>
    </w:p>
    <w:p>
      <w:pPr>
        <w:ind w:left="560" w:right="0"/>
      </w:pPr>
      <w:r>
        <w:rPr>
          <w:b/>
          <w:bCs/>
        </w:rPr>
        <w:t xml:space="preserve">(6)</w:t>
      </w:r>
      <w:r>
        <w:rPr/>
        <w:t xml:space="preserve"> Ústav podává ostatním členským státům a Evropské komisi do 31. prosince každého roku až do 31. prosince 2030 zprávu o počtu žádostí o registraci odrůd vhodných pro ekologickou produkci a o výsledcích zkoušek odlišnosti, uniformity a stálosti a užitné hodnoty týkajících se odrůd vhodných pro ekologickou produkci. Zpráva podle věty první se podává za kalendářní rok.“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5.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1 písm. a) se text „3.1“ nahrazuje textem „3.1a)“.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6.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odst. 3 písm. a) se text „3.1“ nahrazuje textem „3.1a)“.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7.</w:t>
      </w:r>
      <w:r>
        <w:rPr/>
        <w:t xml:space="preserve">	</w:t>
      </w:r>
      <w:r>
        <w:rPr/>
        <w:t xml:space="preserve">V </w:t>
      </w:r>
      <w:hyperlink r:id="rId20" w:history="1">
        <w:r>
          <w:rPr>
            <w:color w:val="darkblue"/>
            <w:u w:val="single"/>
          </w:rPr>
          <w:t xml:space="preserve">§ 5</w:t>
        </w:r>
      </w:hyperlink>
      <w:r>
        <w:rPr/>
        <w:t xml:space="preserve"> se doplňují odstavce 4 a 5, které znějí:</w:t>
      </w:r>
    </w:p>
    <w:p>
      <w:pPr>
        <w:ind w:left="560" w:right="0"/>
      </w:pPr>
      <w:r>
        <w:rPr/>
        <w:t xml:space="preserve">„</w:t>
      </w:r>
      <w:r>
        <w:rPr>
          <w:b/>
          <w:bCs/>
        </w:rPr>
        <w:t xml:space="preserve">(4)</w:t>
      </w:r>
      <w:r>
        <w:rPr/>
        <w:t xml:space="preserve"> Pokud jde o uniformitu, postačí, pokud ekologické odrůdy vhodné pro ekologickou produkci, které patří k druhům uvedeným v části 1 tabulky č. 3.1b) přílohy č. 3 k této vyhlášce, splňují pouze podmínky uvedené v části 2 tabulky č. 3.1b) přílohy č. 3 k této vyhlášce.</w:t>
      </w:r>
    </w:p>
    <w:p>
      <w:pPr>
        <w:ind w:left="560" w:right="0"/>
      </w:pPr>
      <w:r>
        <w:rPr>
          <w:b/>
          <w:bCs/>
        </w:rPr>
        <w:t xml:space="preserve">(5)</w:t>
      </w:r>
      <w:r>
        <w:rPr/>
        <w:t xml:space="preserve"> Ústav podává ostatním členským státům a Evropské komisi do 31. prosince každého roku až do 31. prosince 2030 zprávu o počtu žádostí o registraci odrůd vhodných pro ekologickou produkci a o výsledcích zkoušek odlišnosti, uniformity a stálosti týkajících se odrůd vhodných pro ekologickou produkci. Zpráva podle věty první se podává za kalendářní rok.“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8.</w:t>
      </w:r>
      <w:r>
        <w:rPr/>
        <w:t xml:space="preserve">	</w:t>
      </w:r>
      <w:r>
        <w:rPr/>
        <w:t xml:space="preserve">V příloze č. 2 se slova „Tabulka č. 2.1“ nahrazují slovy „Tabulka č. 2.1a)“.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9.</w:t>
      </w:r>
      <w:r>
        <w:rPr/>
        <w:t xml:space="preserve">	</w:t>
      </w:r>
      <w:r>
        <w:rPr/>
        <w:t xml:space="preserve">V příloze č. 2 se za tabulku č. 2.1a) vkládá tabulka č. 2.1b), která zní:</w:t>
      </w:r>
    </w:p>
    <w:p>
      <w:pPr>
        <w:jc w:val="right"/>
        <w:ind w:left="560" w:right="0"/>
      </w:pPr>
      <w:r>
        <w:rPr/>
        <w:t xml:space="preserve">„</w:t>
      </w:r>
      <w:r>
        <w:rPr>
          <w:b/>
          <w:bCs/>
        </w:rPr>
        <w:t xml:space="preserve">Tabulka č. 2.1b)</w:t>
      </w:r>
    </w:p>
    <w:p>
      <w:pPr>
        <w:jc w:val="center"/>
        <w:ind w:left="560" w:right="0"/>
        <w:spacing w:before="700" w:line="192" w:lineRule="auto"/>
      </w:pPr>
      <w:r>
        <w:rPr>
          <w:sz w:val="33.599999999999994"/>
          <w:szCs w:val="33.599999999999994"/>
        </w:rPr>
        <w:t xml:space="preserve">Zkoušky odlišnosti, uniformity a stálosti (OUS) ekologických odrůd druhů zemědělských rostlin vhodných pro ekologickou produkci</w:t>
      </w:r>
    </w:p>
    <w:tbl>
      <w:tblGrid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Část 1</w:t>
            </w:r>
            <w:br/>
            <w:r>
              <w:rPr/>
              <w:t xml:space="preserve"> </w:t>
            </w:r>
            <w:r>
              <w:rPr>
                <w:b/>
                <w:bCs/>
              </w:rPr>
              <w:t xml:space="preserve">Seznam druhů, na něž odkazuje </w:t>
            </w:r>
            <w:hyperlink r:id="rId21" w:history="1">
              <w:r>
                <w:rPr>
                  <w:color w:val="darkblue"/>
                  <w:u w:val="single"/>
                </w:rPr>
                <w:t xml:space="preserve">§ 4</w:t>
              </w:r>
            </w:hyperlink>
            <w:r>
              <w:rPr>
                <w:b/>
                <w:bCs/>
              </w:rPr>
              <w:t xml:space="preserve"> odst. 4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Ječmen</w:t>
            </w:r>
          </w:p>
        </w:tc>
      </w:tr>
      <w:tr>
        <w:trPr/>
        <w:tc>
          <w:tcPr/>
          <w:p>
            <w:pPr/>
            <w:r>
              <w:rPr/>
              <w:t xml:space="preserve">Kukuřice</w:t>
            </w:r>
          </w:p>
        </w:tc>
      </w:tr>
      <w:tr>
        <w:trPr/>
        <w:tc>
          <w:tcPr/>
          <w:p>
            <w:pPr/>
            <w:r>
              <w:rPr/>
              <w:t xml:space="preserve">Žito</w:t>
            </w:r>
          </w:p>
        </w:tc>
      </w:tr>
      <w:tr>
        <w:trPr/>
        <w:tc>
          <w:tcPr/>
          <w:p>
            <w:pPr/>
            <w:r>
              <w:rPr/>
              <w:t xml:space="preserve">Pšenice</w:t>
            </w:r>
          </w:p>
        </w:tc>
      </w:tr>
    </w:tbl>
    <w:tbl>
      <w:tblGrid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>
            <w:gridSpan w:val="2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Část 2</w:t>
            </w:r>
            <w:r>
              <w:rPr/>
              <w:t xml:space="preserve"> </w:t>
            </w:r>
            <w:br/>
            <w:r>
              <w:rPr>
                <w:b/>
                <w:bCs/>
              </w:rPr>
              <w:t xml:space="preserve">Zvláštní ustanovení týkající se zkoušek odlišnosti, uniformity a stálosti ekologických odrůd druhů zemědělských rostlin vhodných pro ekologickou produkci</w:t>
            </w:r>
            <w:r>
              <w:rPr/>
              <w:t xml:space="preserve"> 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1.</w:t>
            </w:r>
            <w:r>
              <w:rPr/>
              <w:t xml:space="preserve"> </w:t>
            </w:r>
            <w:r>
              <w:rPr>
                <w:b/>
                <w:bCs/>
              </w:rPr>
              <w:t xml:space="preserve">Obecné pravidlo</w:t>
            </w:r>
            <w:r>
              <w:rPr/>
              <w:t xml:space="preserve"> </w:t>
            </w:r>
            <w:br/>
            <w:r>
              <w:rPr>
                <w:b/>
                <w:bCs/>
              </w:rPr>
              <w:t xml:space="preserve">Na ekologické odrůdy druhů zemědělských rostlin vhodných pro ekologickou produkci se vztahují tato ustanovení:</w:t>
            </w:r>
            <w:r>
              <w:rPr/>
              <w:t xml:space="preserve"> 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1.1. Pokud jde o odlišnost a stálost, musí být dodrženy a popsány všechny znaky v protokolech a obecných zásadách uvedených v tabulkách č. 2.1a) a 2.2.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1.2. Pokud jde o uniformitu, musí být dodrženy a popsány všechny znaky v protokolech a obecných zásadách uvedených v tabulkách č. 2.1a) a 2.2 a na znaky uvedené v bodě 2 se vztahují tato ustanovení: </w:t>
            </w:r>
            <w:br/>
            <w:r>
              <w:rPr/>
              <w:t xml:space="preserve">a) uvedené znaky mohou být posuzovány méně přísným způsobem; </w:t>
            </w:r>
            <w:br/>
            <w:r>
              <w:rPr/>
              <w:t xml:space="preserve">b) pokud je v bodě 2 pro uvedené znaky stanovena odchylka od příslušného technického protokolu, míra uniformity v rámci odrůdy musí být podobná míře uniformity srovnatelných obecně známých odrůd v Unii pro ochranu nových odrůd rostlin (UPOV).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2. Odchylka od technických protokolů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2.1. Ječmen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U odrůd patřících k druhu ječmen (</w:t>
            </w:r>
            <w:r>
              <w:rPr>
                <w:i/>
                <w:iCs/>
              </w:rPr>
              <w:t xml:space="preserve">Hordeum vulgare</w:t>
            </w:r>
            <w:r>
              <w:rPr/>
              <w:t xml:space="preserve"> L.) se následující znaky OUS zkoušené odrůdy v protokolu Odrůdového úřadu Společenství (CPVO) CPVO/TP-019/5 mohou odchýlit od následujících požadavků OUS na uniformitu:</w:t>
            </w:r>
          </w:p>
        </w:tc>
      </w:tr>
      <w:tr>
        <w:trPr/>
        <w:tc>
          <w:tcPr/>
          <w:p>
            <w:pPr/>
            <w:r>
              <w:rPr/>
              <w:t xml:space="preserve">CPVO č. 5</w:t>
            </w:r>
          </w:p>
        </w:tc>
        <w:tc>
          <w:tcPr/>
          <w:p>
            <w:pPr/>
            <w:r>
              <w:rPr/>
              <w:t xml:space="preserve">— Praporcovitý list: antokyanové zbarvení oušek</w:t>
            </w:r>
          </w:p>
        </w:tc>
      </w:tr>
      <w:tr>
        <w:trPr/>
        <w:tc>
          <w:tcPr/>
          <w:p>
            <w:pPr/>
            <w:r>
              <w:rPr/>
              <w:t xml:space="preserve">CPVO č. 8</w:t>
            </w:r>
          </w:p>
        </w:tc>
        <w:tc>
          <w:tcPr/>
          <w:p>
            <w:pPr/>
            <w:r>
              <w:rPr/>
              <w:t xml:space="preserve">— Praporcovitý list: ojínění pochvy</w:t>
            </w:r>
          </w:p>
        </w:tc>
      </w:tr>
      <w:tr>
        <w:trPr/>
        <w:tc>
          <w:tcPr/>
          <w:p>
            <w:pPr/>
            <w:r>
              <w:rPr/>
              <w:t xml:space="preserve">CPVO č. 9</w:t>
            </w:r>
          </w:p>
        </w:tc>
        <w:tc>
          <w:tcPr/>
          <w:p>
            <w:pPr/>
            <w:r>
              <w:rPr/>
              <w:t xml:space="preserve">— Osiny: antokyanové zbarvení špiček</w:t>
            </w:r>
          </w:p>
        </w:tc>
      </w:tr>
      <w:tr>
        <w:trPr/>
        <w:tc>
          <w:tcPr/>
          <w:p>
            <w:pPr/>
            <w:r>
              <w:rPr/>
              <w:t xml:space="preserve">CPVO č. 10</w:t>
            </w:r>
          </w:p>
        </w:tc>
        <w:tc>
          <w:tcPr/>
          <w:p>
            <w:pPr/>
            <w:r>
              <w:rPr/>
              <w:t xml:space="preserve">— Klas: ojínění</w:t>
            </w:r>
          </w:p>
        </w:tc>
      </w:tr>
      <w:tr>
        <w:trPr/>
        <w:tc>
          <w:tcPr/>
          <w:p>
            <w:pPr/>
            <w:r>
              <w:rPr/>
              <w:t xml:space="preserve">CPVO č. 12</w:t>
            </w:r>
          </w:p>
        </w:tc>
        <w:tc>
          <w:tcPr/>
          <w:p>
            <w:pPr/>
            <w:r>
              <w:rPr/>
              <w:t xml:space="preserve">— Zrno: antokyanové zbarvení nervů pluchy</w:t>
            </w:r>
          </w:p>
        </w:tc>
      </w:tr>
      <w:tr>
        <w:trPr/>
        <w:tc>
          <w:tcPr/>
          <w:p>
            <w:pPr/>
            <w:r>
              <w:rPr/>
              <w:t xml:space="preserve">CPVO č. 16</w:t>
            </w:r>
          </w:p>
        </w:tc>
        <w:tc>
          <w:tcPr/>
          <w:p>
            <w:pPr/>
            <w:r>
              <w:rPr/>
              <w:t xml:space="preserve">— Sterilní klásek: postavení</w:t>
            </w:r>
          </w:p>
        </w:tc>
      </w:tr>
      <w:tr>
        <w:trPr/>
        <w:tc>
          <w:tcPr/>
          <w:p>
            <w:pPr/>
            <w:r>
              <w:rPr/>
              <w:t xml:space="preserve">CPVO č. 17</w:t>
            </w:r>
          </w:p>
        </w:tc>
        <w:tc>
          <w:tcPr/>
          <w:p>
            <w:pPr/>
            <w:r>
              <w:rPr/>
              <w:t xml:space="preserve">— Klas: tvar</w:t>
            </w:r>
          </w:p>
        </w:tc>
      </w:tr>
      <w:tr>
        <w:trPr/>
        <w:tc>
          <w:tcPr/>
          <w:p>
            <w:pPr/>
            <w:r>
              <w:rPr/>
              <w:t xml:space="preserve">CPVO č. 20</w:t>
            </w:r>
          </w:p>
        </w:tc>
        <w:tc>
          <w:tcPr/>
          <w:p>
            <w:pPr/>
            <w:r>
              <w:rPr/>
              <w:t xml:space="preserve">— Osina: délka</w:t>
            </w:r>
          </w:p>
        </w:tc>
      </w:tr>
      <w:tr>
        <w:trPr/>
        <w:tc>
          <w:tcPr/>
          <w:p>
            <w:pPr/>
            <w:r>
              <w:rPr/>
              <w:t xml:space="preserve">CPVO č. 21</w:t>
            </w:r>
          </w:p>
        </w:tc>
        <w:tc>
          <w:tcPr/>
          <w:p>
            <w:pPr/>
            <w:r>
              <w:rPr/>
              <w:t xml:space="preserve">— Klasové vřeteno: délka prvního článku</w:t>
            </w:r>
          </w:p>
        </w:tc>
      </w:tr>
      <w:tr>
        <w:trPr/>
        <w:tc>
          <w:tcPr/>
          <w:p>
            <w:pPr/>
            <w:r>
              <w:rPr/>
              <w:t xml:space="preserve">CPVO č. 22</w:t>
            </w:r>
          </w:p>
        </w:tc>
        <w:tc>
          <w:tcPr/>
          <w:p>
            <w:pPr/>
            <w:r>
              <w:rPr/>
              <w:t xml:space="preserve">— Klasové vřeteno: zakřivení prvního článku</w:t>
            </w:r>
          </w:p>
        </w:tc>
      </w:tr>
      <w:tr>
        <w:trPr/>
        <w:tc>
          <w:tcPr/>
          <w:p>
            <w:pPr/>
            <w:r>
              <w:rPr/>
              <w:t xml:space="preserve">CPVO č. 23</w:t>
            </w:r>
          </w:p>
        </w:tc>
        <w:tc>
          <w:tcPr/>
          <w:p>
            <w:pPr/>
            <w:r>
              <w:rPr/>
              <w:t xml:space="preserve">— Střední klásek: délka plevy a její osiny v poměru k zrnu</w:t>
            </w:r>
          </w:p>
        </w:tc>
      </w:tr>
      <w:tr>
        <w:trPr/>
        <w:tc>
          <w:tcPr/>
          <w:p>
            <w:pPr/>
            <w:r>
              <w:rPr/>
              <w:t xml:space="preserve">CPVO č. 25</w:t>
            </w:r>
          </w:p>
        </w:tc>
        <w:tc>
          <w:tcPr/>
          <w:p>
            <w:pPr/>
            <w:r>
              <w:rPr/>
              <w:t xml:space="preserve">— Zrno: zoubkatost vnitřních hřbetních nervů pluchy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2.2. Kukuřice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U odrůd patřících k druhu kukuřice (</w:t>
            </w:r>
            <w:r>
              <w:rPr>
                <w:i/>
                <w:iCs/>
              </w:rPr>
              <w:t xml:space="preserve">Zea mays</w:t>
            </w:r>
            <w:r>
              <w:rPr/>
              <w:t xml:space="preserve"> L.) se následující znaky OUS zkoušené odrůdy v protokolu CPVO-TP/002/3 mohou odchýlit od následujících požadavků OUS na uniformitu:</w:t>
            </w:r>
          </w:p>
        </w:tc>
      </w:tr>
      <w:tr>
        <w:trPr/>
        <w:tc>
          <w:tcPr/>
          <w:p>
            <w:pPr/>
            <w:r>
              <w:rPr/>
              <w:t xml:space="preserve">CPVO č. 1</w:t>
            </w:r>
          </w:p>
        </w:tc>
        <w:tc>
          <w:tcPr/>
          <w:p>
            <w:pPr/>
            <w:r>
              <w:rPr/>
              <w:t xml:space="preserve">— První list: antokyanové zbarvení pochvy</w:t>
            </w:r>
          </w:p>
        </w:tc>
      </w:tr>
      <w:tr>
        <w:trPr/>
        <w:tc>
          <w:tcPr/>
          <w:p>
            <w:pPr/>
            <w:r>
              <w:rPr/>
              <w:t xml:space="preserve">CPVO č. 2</w:t>
            </w:r>
          </w:p>
        </w:tc>
        <w:tc>
          <w:tcPr/>
          <w:p>
            <w:pPr/>
            <w:r>
              <w:rPr/>
              <w:t xml:space="preserve">— První list: tvar špičky čepele</w:t>
            </w:r>
          </w:p>
        </w:tc>
      </w:tr>
      <w:tr>
        <w:trPr/>
        <w:tc>
          <w:tcPr/>
          <w:p>
            <w:pPr/>
            <w:r>
              <w:rPr/>
              <w:t xml:space="preserve">CPVO č. 8</w:t>
            </w:r>
          </w:p>
        </w:tc>
        <w:tc>
          <w:tcPr/>
          <w:p>
            <w:pPr/>
            <w:r>
              <w:rPr/>
              <w:t xml:space="preserve">— Lata: antokyanové zbarvení plev bez báze</w:t>
            </w:r>
          </w:p>
        </w:tc>
      </w:tr>
      <w:tr>
        <w:trPr/>
        <w:tc>
          <w:tcPr/>
          <w:p>
            <w:pPr/>
            <w:r>
              <w:rPr/>
              <w:t xml:space="preserve">CPVO č. 9</w:t>
            </w:r>
          </w:p>
        </w:tc>
        <w:tc>
          <w:tcPr/>
          <w:p>
            <w:pPr/>
            <w:r>
              <w:rPr/>
              <w:t xml:space="preserve">— Lata: antokyanové zbarvení prašníků</w:t>
            </w:r>
          </w:p>
        </w:tc>
      </w:tr>
      <w:tr>
        <w:trPr/>
        <w:tc>
          <w:tcPr/>
          <w:p>
            <w:pPr/>
            <w:r>
              <w:rPr/>
              <w:t xml:space="preserve">CPVO č. 10</w:t>
            </w:r>
          </w:p>
        </w:tc>
        <w:tc>
          <w:tcPr/>
          <w:p>
            <w:pPr/>
            <w:r>
              <w:rPr/>
              <w:t xml:space="preserve">— Lata: úhel mezi hlavní osou a postranními větvemi</w:t>
            </w:r>
          </w:p>
        </w:tc>
      </w:tr>
      <w:tr>
        <w:trPr/>
        <w:tc>
          <w:tcPr/>
          <w:p>
            <w:pPr/>
            <w:r>
              <w:rPr/>
              <w:t xml:space="preserve">CPVO č. 11</w:t>
            </w:r>
          </w:p>
        </w:tc>
        <w:tc>
          <w:tcPr/>
          <w:p>
            <w:pPr/>
            <w:r>
              <w:rPr/>
              <w:t xml:space="preserve">— Lata: postavení postranních větví</w:t>
            </w:r>
          </w:p>
        </w:tc>
      </w:tr>
      <w:tr>
        <w:trPr/>
        <w:tc>
          <w:tcPr/>
          <w:p>
            <w:pPr/>
            <w:r>
              <w:rPr/>
              <w:t xml:space="preserve">CPVO č. 15</w:t>
            </w:r>
          </w:p>
        </w:tc>
        <w:tc>
          <w:tcPr/>
          <w:p>
            <w:pPr/>
            <w:r>
              <w:rPr/>
              <w:t xml:space="preserve">— Stonek: antokyanové zbarvení podpůrných kořenů</w:t>
            </w:r>
          </w:p>
        </w:tc>
      </w:tr>
      <w:tr>
        <w:trPr/>
        <w:tc>
          <w:tcPr/>
          <w:p>
            <w:pPr/>
            <w:r>
              <w:rPr/>
              <w:t xml:space="preserve">CPVO č. 16</w:t>
            </w:r>
          </w:p>
        </w:tc>
        <w:tc>
          <w:tcPr/>
          <w:p>
            <w:pPr/>
            <w:r>
              <w:rPr/>
              <w:t xml:space="preserve">— Lata: hustota klásků</w:t>
            </w:r>
          </w:p>
        </w:tc>
      </w:tr>
      <w:tr>
        <w:trPr/>
        <w:tc>
          <w:tcPr/>
          <w:p>
            <w:pPr/>
            <w:r>
              <w:rPr/>
              <w:t xml:space="preserve">CPVO č. 17</w:t>
            </w:r>
          </w:p>
        </w:tc>
        <w:tc>
          <w:tcPr/>
          <w:p>
            <w:pPr/>
            <w:r>
              <w:rPr/>
              <w:t xml:space="preserve">— List: antokyanové zbarvení pochvy</w:t>
            </w:r>
          </w:p>
        </w:tc>
      </w:tr>
      <w:tr>
        <w:trPr/>
        <w:tc>
          <w:tcPr/>
          <w:p>
            <w:pPr/>
            <w:r>
              <w:rPr/>
              <w:t xml:space="preserve">CPVO č. 18</w:t>
            </w:r>
          </w:p>
        </w:tc>
        <w:tc>
          <w:tcPr/>
          <w:p>
            <w:pPr/>
            <w:r>
              <w:rPr/>
              <w:t xml:space="preserve">— Stonek: antokyanové zbarvení internodií</w:t>
            </w:r>
          </w:p>
        </w:tc>
      </w:tr>
      <w:tr>
        <w:trPr/>
        <w:tc>
          <w:tcPr/>
          <w:p>
            <w:pPr/>
            <w:r>
              <w:rPr/>
              <w:t xml:space="preserve">CPVO č. 19</w:t>
            </w:r>
          </w:p>
        </w:tc>
        <w:tc>
          <w:tcPr/>
          <w:p>
            <w:pPr/>
            <w:r>
              <w:rPr/>
              <w:t xml:space="preserve">— Lata: délka hlavní osy nad nejnižší postranní větví</w:t>
            </w:r>
          </w:p>
        </w:tc>
      </w:tr>
      <w:tr>
        <w:trPr/>
        <w:tc>
          <w:tcPr/>
          <w:p>
            <w:pPr/>
            <w:r>
              <w:rPr/>
              <w:t xml:space="preserve">CPVO č. 20</w:t>
            </w:r>
          </w:p>
        </w:tc>
        <w:tc>
          <w:tcPr/>
          <w:p>
            <w:pPr/>
            <w:r>
              <w:rPr/>
              <w:t xml:space="preserve">— Lata: délka hlavní osy nad horní postranní větví</w:t>
            </w:r>
          </w:p>
        </w:tc>
      </w:tr>
      <w:tr>
        <w:trPr/>
        <w:tc>
          <w:tcPr/>
          <w:p>
            <w:pPr/>
            <w:r>
              <w:rPr/>
              <w:t xml:space="preserve">CPVO č. 21</w:t>
            </w:r>
          </w:p>
        </w:tc>
        <w:tc>
          <w:tcPr/>
          <w:p>
            <w:pPr/>
            <w:r>
              <w:rPr/>
              <w:t xml:space="preserve">— Lata: délka postranních větví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2.3. Žito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U odrůd patřících k druhu žito (</w:t>
            </w:r>
            <w:r>
              <w:rPr>
                <w:i/>
                <w:iCs/>
              </w:rPr>
              <w:t xml:space="preserve">Secale cereale</w:t>
            </w:r>
            <w:r>
              <w:rPr/>
              <w:t xml:space="preserve"> L.) se následující znaky OUS zkoušené odrůdy v protokolu CPVO-TP/058/1 mohou odchýlit od následujících požadavků OUS na uniformitu:</w:t>
            </w:r>
          </w:p>
        </w:tc>
      </w:tr>
      <w:tr>
        <w:trPr/>
        <w:tc>
          <w:tcPr/>
          <w:p>
            <w:pPr/>
            <w:r>
              <w:rPr/>
              <w:t xml:space="preserve">CPVO č. 3</w:t>
            </w:r>
          </w:p>
        </w:tc>
        <w:tc>
          <w:tcPr/>
          <w:p>
            <w:pPr/>
            <w:r>
              <w:rPr/>
              <w:t xml:space="preserve">— Koleoptile: antokyanové zbarvení</w:t>
            </w:r>
          </w:p>
        </w:tc>
      </w:tr>
      <w:tr>
        <w:trPr/>
        <w:tc>
          <w:tcPr/>
          <w:p>
            <w:pPr/>
            <w:r>
              <w:rPr/>
              <w:t xml:space="preserve">CPVO č. 4</w:t>
            </w:r>
          </w:p>
        </w:tc>
        <w:tc>
          <w:tcPr/>
          <w:p>
            <w:pPr/>
            <w:r>
              <w:rPr/>
              <w:t xml:space="preserve">— Koleoptile: délka</w:t>
            </w:r>
          </w:p>
        </w:tc>
      </w:tr>
      <w:tr>
        <w:trPr/>
        <w:tc>
          <w:tcPr/>
          <w:p>
            <w:pPr/>
            <w:r>
              <w:rPr/>
              <w:t xml:space="preserve">CPVO č. 5</w:t>
            </w:r>
          </w:p>
        </w:tc>
        <w:tc>
          <w:tcPr/>
          <w:p>
            <w:pPr/>
            <w:r>
              <w:rPr/>
              <w:t xml:space="preserve">— První list: délka pochvy</w:t>
            </w:r>
          </w:p>
        </w:tc>
      </w:tr>
      <w:tr>
        <w:trPr/>
        <w:tc>
          <w:tcPr/>
          <w:p>
            <w:pPr/>
            <w:r>
              <w:rPr/>
              <w:t xml:space="preserve">CPVO č. 6</w:t>
            </w:r>
          </w:p>
        </w:tc>
        <w:tc>
          <w:tcPr/>
          <w:p>
            <w:pPr/>
            <w:r>
              <w:rPr/>
              <w:t xml:space="preserve">— První list: délka čepele</w:t>
            </w:r>
          </w:p>
        </w:tc>
      </w:tr>
      <w:tr>
        <w:trPr/>
        <w:tc>
          <w:tcPr/>
          <w:p>
            <w:pPr/>
            <w:r>
              <w:rPr/>
              <w:t xml:space="preserve">CPVO č. 8</w:t>
            </w:r>
          </w:p>
        </w:tc>
        <w:tc>
          <w:tcPr/>
          <w:p>
            <w:pPr/>
            <w:r>
              <w:rPr/>
              <w:t xml:space="preserve">— Praporcovitý list: ojínění pochvy</w:t>
            </w:r>
          </w:p>
        </w:tc>
      </w:tr>
      <w:tr>
        <w:trPr/>
        <w:tc>
          <w:tcPr/>
          <w:p>
            <w:pPr/>
            <w:r>
              <w:rPr/>
              <w:t xml:space="preserve">CPVO č. 10</w:t>
            </w:r>
          </w:p>
        </w:tc>
        <w:tc>
          <w:tcPr/>
          <w:p>
            <w:pPr/>
            <w:r>
              <w:rPr/>
              <w:t xml:space="preserve">— List pod praporcovitým listem: délka čepele</w:t>
            </w:r>
          </w:p>
        </w:tc>
      </w:tr>
      <w:tr>
        <w:trPr/>
        <w:tc>
          <w:tcPr/>
          <w:p>
            <w:pPr/>
            <w:r>
              <w:rPr/>
              <w:t xml:space="preserve">CPVO č. 11</w:t>
            </w:r>
          </w:p>
        </w:tc>
        <w:tc>
          <w:tcPr/>
          <w:p>
            <w:pPr/>
            <w:r>
              <w:rPr/>
              <w:t xml:space="preserve">— List pod praporcovitým listem: šířka čepele</w:t>
            </w:r>
          </w:p>
        </w:tc>
      </w:tr>
      <w:tr>
        <w:trPr/>
        <w:tc>
          <w:tcPr/>
          <w:p>
            <w:pPr/>
            <w:r>
              <w:rPr/>
              <w:t xml:space="preserve">CPVO č. 12</w:t>
            </w:r>
          </w:p>
        </w:tc>
        <w:tc>
          <w:tcPr/>
          <w:p>
            <w:pPr/>
            <w:r>
              <w:rPr/>
              <w:t xml:space="preserve">— Klas: ojínění</w:t>
            </w:r>
          </w:p>
        </w:tc>
      </w:tr>
      <w:tr>
        <w:trPr/>
        <w:tc>
          <w:tcPr/>
          <w:p>
            <w:pPr/>
            <w:r>
              <w:rPr/>
              <w:t xml:space="preserve">CPVO č. 13</w:t>
            </w:r>
          </w:p>
        </w:tc>
        <w:tc>
          <w:tcPr/>
          <w:p>
            <w:pPr/>
            <w:r>
              <w:rPr/>
              <w:t xml:space="preserve">— Stéblo: chloupkatost pod klasem</w:t>
            </w:r>
          </w:p>
        </w:tc>
      </w:tr>
      <w:tr>
        <w:trPr/>
        <w:tc>
          <w:tcPr>
            <w:gridSpan w:val="2"/>
          </w:tcPr>
          <w:p>
            <w:pPr/>
            <w:r>
              <w:rPr>
                <w:b/>
                <w:bCs/>
              </w:rPr>
              <w:t xml:space="preserve">2.4. Pšenice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U odrůd patřících k druhu pšenice (</w:t>
            </w:r>
            <w:r>
              <w:rPr>
                <w:i/>
                <w:iCs/>
              </w:rPr>
              <w:t xml:space="preserve">Triticum aestivum</w:t>
            </w:r>
            <w:r>
              <w:rPr/>
              <w:t xml:space="preserve"> L. subsp. </w:t>
            </w:r>
            <w:r>
              <w:rPr>
                <w:i/>
                <w:iCs/>
              </w:rPr>
              <w:t xml:space="preserve">aestivum</w:t>
            </w:r>
            <w:r>
              <w:rPr/>
              <w:t xml:space="preserve">) se následující znaky OUS zkoušené odrůdy v protokolu CPVO-TP/003/5 mohou odchýlit od následujících požadavků OUS na uniformitu:</w:t>
            </w:r>
          </w:p>
        </w:tc>
      </w:tr>
      <w:tr>
        <w:trPr/>
        <w:tc>
          <w:tcPr/>
          <w:p>
            <w:pPr/>
            <w:r>
              <w:rPr/>
              <w:t xml:space="preserve">CPVO č. 3</w:t>
            </w:r>
          </w:p>
        </w:tc>
        <w:tc>
          <w:tcPr/>
          <w:p>
            <w:pPr/>
            <w:r>
              <w:rPr/>
              <w:t xml:space="preserve">— Koleoptile: antokyanové zbarvení</w:t>
            </w:r>
          </w:p>
        </w:tc>
      </w:tr>
      <w:tr>
        <w:trPr/>
        <w:tc>
          <w:tcPr/>
          <w:p>
            <w:pPr/>
            <w:r>
              <w:rPr/>
              <w:t xml:space="preserve">CPVO č. 6</w:t>
            </w:r>
          </w:p>
        </w:tc>
        <w:tc>
          <w:tcPr/>
          <w:p>
            <w:pPr/>
            <w:r>
              <w:rPr/>
              <w:t xml:space="preserve">— Praporcovitý list: antokyanové zbarvení oušek</w:t>
            </w:r>
          </w:p>
        </w:tc>
      </w:tr>
      <w:tr>
        <w:trPr/>
        <w:tc>
          <w:tcPr/>
          <w:p>
            <w:pPr/>
            <w:r>
              <w:rPr/>
              <w:t xml:space="preserve">CPVO č. 8</w:t>
            </w:r>
          </w:p>
        </w:tc>
        <w:tc>
          <w:tcPr/>
          <w:p>
            <w:pPr/>
            <w:r>
              <w:rPr/>
              <w:t xml:space="preserve">— Praporcovitý list: ojínění listové pochvy</w:t>
            </w:r>
          </w:p>
        </w:tc>
      </w:tr>
      <w:tr>
        <w:trPr/>
        <w:tc>
          <w:tcPr/>
          <w:p>
            <w:pPr/>
            <w:r>
              <w:rPr/>
              <w:t xml:space="preserve">CPVO č. 9</w:t>
            </w:r>
          </w:p>
        </w:tc>
        <w:tc>
          <w:tcPr/>
          <w:p>
            <w:pPr/>
            <w:r>
              <w:rPr/>
              <w:t xml:space="preserve">— Praporcovitý list: ojínění čepele</w:t>
            </w:r>
          </w:p>
        </w:tc>
      </w:tr>
      <w:tr>
        <w:trPr/>
        <w:tc>
          <w:tcPr/>
          <w:p>
            <w:pPr/>
            <w:r>
              <w:rPr/>
              <w:t xml:space="preserve">CPVO č. 10</w:t>
            </w:r>
          </w:p>
        </w:tc>
        <w:tc>
          <w:tcPr/>
          <w:p>
            <w:pPr/>
            <w:r>
              <w:rPr/>
              <w:t xml:space="preserve">— Klas: ojínění</w:t>
            </w:r>
          </w:p>
        </w:tc>
      </w:tr>
      <w:tr>
        <w:trPr/>
        <w:tc>
          <w:tcPr/>
          <w:p>
            <w:pPr/>
            <w:r>
              <w:rPr/>
              <w:t xml:space="preserve">CPVO č. 11</w:t>
            </w:r>
          </w:p>
        </w:tc>
        <w:tc>
          <w:tcPr/>
          <w:p>
            <w:pPr/>
            <w:r>
              <w:rPr/>
              <w:t xml:space="preserve">— Stéblo: ojínění prvního internodia pod klasem</w:t>
            </w:r>
          </w:p>
        </w:tc>
      </w:tr>
      <w:tr>
        <w:trPr/>
        <w:tc>
          <w:tcPr/>
          <w:p>
            <w:pPr/>
            <w:r>
              <w:rPr/>
              <w:t xml:space="preserve">CPVO č. 20</w:t>
            </w:r>
          </w:p>
        </w:tc>
        <w:tc>
          <w:tcPr/>
          <w:p>
            <w:pPr/>
            <w:r>
              <w:rPr/>
              <w:t xml:space="preserve">— Klas: tvar v profilu</w:t>
            </w:r>
          </w:p>
        </w:tc>
      </w:tr>
      <w:tr>
        <w:trPr/>
        <w:tc>
          <w:tcPr/>
          <w:p>
            <w:pPr/>
            <w:r>
              <w:rPr/>
              <w:t xml:space="preserve">CPVO č. 21</w:t>
            </w:r>
          </w:p>
        </w:tc>
        <w:tc>
          <w:tcPr/>
          <w:p>
            <w:pPr/>
            <w:r>
              <w:rPr/>
              <w:t xml:space="preserve">— Vrcholový článek klasového vřetene: oblast vnější chloupkatosti</w:t>
            </w:r>
          </w:p>
        </w:tc>
      </w:tr>
      <w:tr>
        <w:trPr/>
        <w:tc>
          <w:tcPr/>
          <w:p>
            <w:pPr/>
            <w:r>
              <w:rPr/>
              <w:t xml:space="preserve">CPVO č. 22</w:t>
            </w:r>
          </w:p>
        </w:tc>
        <w:tc>
          <w:tcPr/>
          <w:p>
            <w:pPr/>
            <w:r>
              <w:rPr/>
              <w:t xml:space="preserve">— Pleva: šířka ramene</w:t>
            </w:r>
          </w:p>
        </w:tc>
      </w:tr>
      <w:tr>
        <w:trPr/>
        <w:tc>
          <w:tcPr/>
          <w:p>
            <w:pPr/>
            <w:r>
              <w:rPr/>
              <w:t xml:space="preserve">CPVO č. 23</w:t>
            </w:r>
          </w:p>
        </w:tc>
        <w:tc>
          <w:tcPr/>
          <w:p>
            <w:pPr/>
            <w:r>
              <w:rPr/>
              <w:t xml:space="preserve">— Pleva: tvar ramene</w:t>
            </w:r>
          </w:p>
        </w:tc>
      </w:tr>
      <w:tr>
        <w:trPr/>
        <w:tc>
          <w:tcPr/>
          <w:p>
            <w:pPr/>
            <w:r>
              <w:rPr/>
              <w:t xml:space="preserve">CPVO č. 24</w:t>
            </w:r>
          </w:p>
        </w:tc>
        <w:tc>
          <w:tcPr/>
          <w:p>
            <w:pPr/>
            <w:r>
              <w:rPr/>
              <w:t xml:space="preserve">— Pleva: délka zubu</w:t>
            </w:r>
          </w:p>
        </w:tc>
      </w:tr>
      <w:tr>
        <w:trPr/>
        <w:tc>
          <w:tcPr/>
          <w:p>
            <w:pPr/>
            <w:r>
              <w:rPr/>
              <w:t xml:space="preserve">CPVO č. 25</w:t>
            </w:r>
          </w:p>
        </w:tc>
        <w:tc>
          <w:tcPr/>
          <w:p>
            <w:pPr/>
            <w:r>
              <w:rPr/>
              <w:t xml:space="preserve">— Pleva: tvar zubu</w:t>
            </w:r>
          </w:p>
        </w:tc>
      </w:tr>
      <w:tr>
        <w:trPr/>
        <w:tc>
          <w:tcPr/>
          <w:p>
            <w:pPr/>
            <w:r>
              <w:rPr/>
              <w:t xml:space="preserve">CPVO č. 26</w:t>
            </w:r>
          </w:p>
        </w:tc>
        <w:tc>
          <w:tcPr/>
          <w:p>
            <w:pPr/>
            <w:r>
              <w:rPr/>
              <w:t xml:space="preserve">— Pleva: oblast vnitřní chloupkatosti“.</w:t>
            </w:r>
          </w:p>
        </w:tc>
      </w:tr>
    </w:tbl>
    <w:p>
      <w:pPr>
        <w:ind w:left="560" w:right="0"/>
      </w:pPr>
      <w:r>
        <w:rPr/>
        <w:t xml:space="preserve">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10.</w:t>
      </w:r>
      <w:r>
        <w:rPr/>
        <w:t xml:space="preserve">	</w:t>
      </w:r>
      <w:r>
        <w:rPr/>
        <w:t xml:space="preserve">V příloze č. 2 se za tabulku č. 2.3b) doplňuje tabulka č. 2.3c), která zní:</w:t>
      </w:r>
    </w:p>
    <w:p>
      <w:pPr>
        <w:jc w:val="right"/>
        <w:ind w:left="560" w:right="0"/>
      </w:pPr>
      <w:r>
        <w:rPr/>
        <w:t xml:space="preserve">„</w:t>
      </w:r>
      <w:r>
        <w:rPr>
          <w:b/>
          <w:bCs/>
        </w:rPr>
        <w:t xml:space="preserve">Tabulka č. 2.3c)</w:t>
      </w:r>
    </w:p>
    <w:p>
      <w:pPr>
        <w:jc w:val="center"/>
        <w:ind w:left="560" w:right="0"/>
        <w:spacing w:before="700" w:line="192" w:lineRule="auto"/>
      </w:pPr>
      <w:r>
        <w:rPr>
          <w:sz w:val="33.599999999999994"/>
          <w:szCs w:val="33.599999999999994"/>
        </w:rPr>
        <w:t xml:space="preserve">Zkoušky užitné hodnoty ekologických odrůd vhodných pro ekologickou produkci</w:t>
      </w:r>
    </w:p>
    <w:tbl>
      <w:tblGrid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 Část 1</w:t>
            </w:r>
            <w:br/>
            <w:r>
              <w:rPr/>
              <w:t xml:space="preserve"> </w:t>
            </w:r>
            <w:r>
              <w:rPr>
                <w:b/>
                <w:bCs/>
              </w:rPr>
              <w:t xml:space="preserve"> Seznam druhů, na něž odkazuje </w:t>
            </w:r>
            <w:hyperlink r:id="rId21" w:history="1">
              <w:r>
                <w:rPr>
                  <w:color w:val="darkblue"/>
                  <w:u w:val="single"/>
                </w:rPr>
                <w:t xml:space="preserve">§ 4</w:t>
              </w:r>
            </w:hyperlink>
            <w:r>
              <w:rPr>
                <w:b/>
                <w:bCs/>
              </w:rPr>
              <w:t xml:space="preserve"> odst. 5 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Ječmen</w:t>
            </w:r>
          </w:p>
        </w:tc>
      </w:tr>
      <w:tr>
        <w:trPr/>
        <w:tc>
          <w:tcPr/>
          <w:p>
            <w:pPr/>
            <w:r>
              <w:rPr/>
              <w:t xml:space="preserve">Kukuřice</w:t>
            </w:r>
          </w:p>
        </w:tc>
      </w:tr>
      <w:tr>
        <w:trPr/>
        <w:tc>
          <w:tcPr/>
          <w:p>
            <w:pPr/>
            <w:r>
              <w:rPr/>
              <w:t xml:space="preserve">Žito</w:t>
            </w:r>
          </w:p>
        </w:tc>
      </w:tr>
      <w:tr>
        <w:trPr/>
        <w:tc>
          <w:tcPr/>
          <w:p>
            <w:pPr/>
            <w:r>
              <w:rPr/>
              <w:t xml:space="preserve">Pšenice</w:t>
            </w:r>
          </w:p>
        </w:tc>
      </w:tr>
    </w:tbl>
    <w:tbl>
      <w:tblGrid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 Část 2 </w:t>
            </w:r>
            <w:r>
              <w:rPr/>
              <w:t xml:space="preserve"> </w:t>
            </w:r>
            <w:br/>
            <w:r>
              <w:rPr>
                <w:b/>
                <w:bCs/>
              </w:rPr>
              <w:t xml:space="preserve">Podmínky, které musí být splněny – užitná hodnota ekologických odrůd vhodných pro ekologickou produkci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1. Zkoušení užitné hodnoty musí být prováděno za ekologických podmínek v souladu s ustanoveními nařízení (EU) 2018/848, a zejména s obecnými zásadami podle čl. 5 písm. d), e), f) a g) a s pravidly rostlinné výroby podle čl. 12 tohoto nařízení EU. </w:t>
            </w:r>
          </w:p>
        </w:tc>
      </w:tr>
      <w:tr>
        <w:trPr/>
        <w:tc>
          <w:tcPr/>
          <w:p>
            <w:pPr/>
            <w:r>
              <w:rPr/>
              <w:t xml:space="preserve">2. Při zkoušení odrůd a hodnocení výsledků zkoušek musí být zohledněny zvláštní potřeby a cíle ekologického zemědělství. Musí být zkoušena odolnost nebo tolerance vůči chorobám a přizpůsobení se různým místním půdním a klimatickým podmínkám.</w:t>
            </w:r>
          </w:p>
        </w:tc>
      </w:tr>
      <w:tr>
        <w:trPr/>
        <w:tc>
          <w:tcPr/>
          <w:p>
            <w:pPr/>
            <w:r>
              <w:rPr/>
              <w:t xml:space="preserve">3. Nejsou-li příslušné orgány schopny zajistit zkoušení za ekologických podmínek nebo zkoušení určitých vlastností, včetně náchylnosti k chorobám, může být zkoušení provedeno podle jednoho z těchto bodů: </w:t>
            </w:r>
            <w:br/>
            <w:r>
              <w:rPr/>
              <w:t xml:space="preserve">a) pod dohledem příslušného orgánu v prostorách ekologických šlechtitelů nebo v ekologických hospodářstvích; </w:t>
            </w:r>
            <w:br/>
            <w:r>
              <w:rPr/>
              <w:t xml:space="preserve">b) za podmínek s nízkými vstupy a s minimálním ošetřením; </w:t>
            </w:r>
            <w:br/>
            <w:r>
              <w:rPr/>
              <w:t xml:space="preserve">c) v jiném členském státě, pokud byly mezi členskými státy uzavřeny dvoustranné dohody s cílem dosáhnout zkoušení za ekologických podmínek. </w:t>
            </w:r>
            <w:br/>
            <w:r>
              <w:rPr/>
              <w:t xml:space="preserve">Odrůda vykazuje uspokojivou užitnou hodnotu, pokud při srovnání s jinými ekologickými odrůdami vhodnými pro ekologickou produkci zapsanými do katalogu daného členského státu její celkové vlastnosti nabízejí, alespoň pokud jde o produkci v určitém regionu, jednoznačné zlepšení buď pro pěstování, nebo pro využití výpěstků nebo produktů z nich získaných. Pro účely zkoušení užitné hodnoty se za obzvláště hodnotné považují vynikající vlastnosti pro zemědělskou produkci, pokud jde o zemědělské postupy a produkci potravin nebo krmiv, které představují výhody pro ekologické zemědělství.</w:t>
            </w:r>
          </w:p>
        </w:tc>
      </w:tr>
      <w:tr>
        <w:trPr/>
        <w:tc>
          <w:tcPr/>
          <w:p>
            <w:pPr/>
            <w:r>
              <w:rPr/>
              <w:t xml:space="preserve">4. Příslušný orgán stanoví různé zkušební podmínky, které jsou přizpůsobeny zvláštním potřebám ekologického zemědělství, a na žádost žadatele provede v rozsahu své kapacity zkoušky zvláštních znaků a vlastností, pokud jsou k dispozici reprodukovatelné metody.</w:t>
            </w:r>
          </w:p>
        </w:tc>
      </w:tr>
    </w:tbl>
    <w:p>
      <w:pPr>
        <w:ind w:left="560" w:right="0"/>
      </w:pPr>
      <w:r>
        <w:rPr/>
        <w:t xml:space="preserve">“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11.</w:t>
      </w:r>
      <w:r>
        <w:rPr/>
        <w:t xml:space="preserve">	</w:t>
      </w:r>
      <w:r>
        <w:rPr/>
        <w:t xml:space="preserve">V příloze č. 3 se slova „Tabulka č. 3.1“ nahrazují slovy „Tabulka č. 3.1a)“.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12.</w:t>
      </w:r>
      <w:r>
        <w:rPr/>
        <w:t xml:space="preserve">	</w:t>
      </w:r>
      <w:r>
        <w:rPr/>
        <w:t xml:space="preserve">V příloze č. 3 se za tabulku č. 3.1a) vkládá tabulka č. 3.1b), která zní:</w:t>
      </w:r>
    </w:p>
    <w:p>
      <w:pPr>
        <w:jc w:val="right"/>
        <w:ind w:left="560" w:right="0"/>
      </w:pPr>
      <w:r>
        <w:rPr/>
        <w:t xml:space="preserve">„</w:t>
      </w:r>
      <w:r>
        <w:rPr>
          <w:b/>
          <w:bCs/>
        </w:rPr>
        <w:t xml:space="preserve">Tabulka č. 3.1b)</w:t>
      </w:r>
    </w:p>
    <w:p>
      <w:pPr>
        <w:jc w:val="center"/>
        <w:ind w:left="560" w:right="0"/>
        <w:spacing w:before="700" w:line="192" w:lineRule="auto"/>
      </w:pPr>
      <w:r>
        <w:rPr>
          <w:sz w:val="33.599999999999994"/>
          <w:szCs w:val="33.599999999999994"/>
        </w:rPr>
        <w:t xml:space="preserve">Zkoušky odlišnosti, uniformity a stálosti (OUS) ekologických odrůd druhů zeleniny vhodných pro ekologickou produkci</w:t>
      </w:r>
    </w:p>
    <w:tbl>
      <w:tblGrid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/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Část 1</w:t>
            </w:r>
            <w:br/>
            <w:r>
              <w:rPr/>
              <w:t xml:space="preserve"> </w:t>
            </w:r>
            <w:r>
              <w:rPr>
                <w:b/>
                <w:bCs/>
              </w:rPr>
              <w:t xml:space="preserve">Seznam druhů, na něž odkazuje </w:t>
            </w:r>
            <w:hyperlink r:id="rId22" w:history="1">
              <w:r>
                <w:rPr>
                  <w:color w:val="darkblue"/>
                  <w:u w:val="single"/>
                </w:rPr>
                <w:t xml:space="preserve">§ 5</w:t>
              </w:r>
            </w:hyperlink>
            <w:r>
              <w:rPr>
                <w:b/>
                <w:bCs/>
              </w:rPr>
              <w:t xml:space="preserve"> odst. 4</w:t>
            </w:r>
            <w:r>
              <w:rPr/>
              <w:t xml:space="preserve"> </w:t>
            </w:r>
          </w:p>
        </w:tc>
      </w:tr>
      <w:tr>
        <w:trPr/>
        <w:tc>
          <w:tcPr/>
          <w:p>
            <w:pPr/>
            <w:r>
              <w:rPr/>
              <w:t xml:space="preserve">Mrkev</w:t>
            </w:r>
          </w:p>
        </w:tc>
      </w:tr>
      <w:tr>
        <w:trPr/>
        <w:tc>
          <w:tcPr/>
          <w:p>
            <w:pPr/>
            <w:r>
              <w:rPr/>
              <w:t xml:space="preserve">Kedluben</w:t>
            </w:r>
          </w:p>
        </w:tc>
      </w:tr>
    </w:tbl>
    <w:tbl>
      <w:tblGrid>
        <w:gridCol/>
        <w:gridCol/>
        <w:gridCol/>
      </w:tblGrid>
      <w:tblPr>
        <w:tblW w:w="5000" w:type="pct"/>
        <w:tblBorders>
          <w:top w:val="single" w:sz="1" w:color="cccccc"/>
          <w:left w:val="single" w:sz="1" w:color="cccccc"/>
          <w:right w:val="single" w:sz="1" w:color="cccccc"/>
          <w:bottom w:val="single" w:sz="1" w:color="cccccc"/>
          <w:insideH w:val="single" w:sz="1" w:color="cccccc"/>
          <w:insideV w:val="single" w:sz="1" w:color="cccccc"/>
        </w:tblBorders>
      </w:tblPr>
      <w:tr>
        <w:trPr/>
        <w:tc>
          <w:tcPr>
            <w:gridSpan w:val="3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Část 2</w:t>
            </w:r>
            <w:br/>
            <w:r>
              <w:rPr/>
              <w:t xml:space="preserve"> </w:t>
            </w:r>
            <w:r>
              <w:rPr>
                <w:b/>
                <w:bCs/>
              </w:rPr>
              <w:t xml:space="preserve">Zvláštní ustanovení týkající se zkoušek odlišnosti, uniformity a stálosti ekologických odrůd druhů zeleniny vhodných pro ekologickou produkci </w:t>
            </w:r>
            <w:r>
              <w:rPr/>
              <w:t xml:space="preserve"> </w:t>
            </w:r>
          </w:p>
        </w:tc>
      </w:tr>
      <w:tr>
        <w:trPr/>
        <w:tc>
          <w:tcPr>
            <w:gridSpan w:val="3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1. Obecné pravidlo</w:t>
            </w:r>
            <w:br/>
            <w:r>
              <w:rPr/>
              <w:t xml:space="preserve"> </w:t>
            </w:r>
            <w:r>
              <w:rPr>
                <w:b/>
                <w:bCs/>
              </w:rPr>
              <w:t xml:space="preserve">Na ekologické odrůdy druhů zeleniny vhodných pro ekologickou produkci se vztahují tato ustanovení:</w:t>
            </w:r>
            <w:r>
              <w:rPr/>
              <w:t xml:space="preserve"> </w:t>
            </w:r>
          </w:p>
        </w:tc>
      </w:tr>
      <w:tr>
        <w:trPr/>
        <w:tc>
          <w:tcPr>
            <w:gridSpan w:val="3"/>
          </w:tcPr>
          <w:p>
            <w:pPr/>
            <w:r>
              <w:rPr/>
              <w:t xml:space="preserve">1.1 Pokud jde o odlišnost a stálost, musí být dodrženy a popsány všechny znaky v protokolech a obecných zásadách uvedených v tabulkách č. 3.1a) a 3.2. 1.2 Pokud jde o uniformitu, musí být dodrženy a popsány všechny znaky v protokolech a obecných zásadách uvedených v tabulkách č. 3.1a) a 3.2 a na znaky uvedené v bodě 2 se vztahují tato ustanovení: </w:t>
            </w:r>
            <w:br/>
            <w:r>
              <w:rPr/>
              <w:t xml:space="preserve">a) u vedené znaky mohou být posuzovány méně přísným způsobem; </w:t>
            </w:r>
            <w:br/>
            <w:r>
              <w:rPr/>
              <w:t xml:space="preserve">b) pokud je v uvedeném bodě 2 pro uvedené znaky stanovena odchylka od příslušného technického protokolu, míra uniformity v rámci odrůdy musí být podobná míře uniformity srovnatelných obecně známých odrůd v Unii pro ochranu nových odrůd rostlin (UPOV).</w:t>
            </w:r>
          </w:p>
        </w:tc>
      </w:tr>
      <w:tr>
        <w:trPr/>
        <w:tc>
          <w:tcPr>
            <w:gridSpan w:val="3"/>
          </w:tcPr>
          <w:p>
            <w:pPr/>
            <w:r>
              <w:rPr>
                <w:b/>
                <w:bCs/>
              </w:rPr>
              <w:t xml:space="preserve">2. Odchylka od technických protokolů</w:t>
            </w:r>
          </w:p>
        </w:tc>
      </w:tr>
      <w:tr>
        <w:trPr/>
        <w:tc>
          <w:tcPr>
            <w:gridSpan w:val="3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2.1. Mrkev</w:t>
            </w:r>
            <w:br/>
            <w:r>
              <w:rPr/>
              <w:t xml:space="preserve"> U odrůd patřících k druhu mrkev (</w:t>
            </w:r>
            <w:r>
              <w:rPr>
                <w:i/>
                <w:iCs/>
              </w:rPr>
              <w:t xml:space="preserve">Daucus carota</w:t>
            </w:r>
            <w:r>
              <w:rPr/>
              <w:t xml:space="preserve"> L.) se následující znaky OUS zkoušené odrůdy v protokolu CPVO-TP/049/3 mohou odchýlit od následujících požadavků OUS na uniformitu:</w:t>
            </w:r>
          </w:p>
        </w:tc>
      </w:tr>
      <w:tr>
        <w:trPr/>
        <w:tc>
          <w:tcPr/>
          <w:p>
            <w:pPr/>
            <w:r>
              <w:rPr/>
              <w:t xml:space="preserve">CPVO č. 4</w:t>
            </w:r>
          </w:p>
        </w:tc>
        <w:tc>
          <w:tcPr>
            <w:gridSpan w:val="2"/>
          </w:tcPr>
          <w:p>
            <w:pPr/>
            <w:r>
              <w:rPr/>
              <w:t xml:space="preserve">— List: členitost</w:t>
            </w:r>
          </w:p>
        </w:tc>
      </w:tr>
      <w:tr>
        <w:trPr/>
        <w:tc>
          <w:tcPr/>
          <w:p>
            <w:pPr/>
            <w:r>
              <w:rPr/>
              <w:t xml:space="preserve">CPVO č. 5 </w:t>
            </w:r>
          </w:p>
        </w:tc>
        <w:tc>
          <w:tcPr>
            <w:gridSpan w:val="2"/>
          </w:tcPr>
          <w:p>
            <w:pPr/>
            <w:r>
              <w:rPr/>
              <w:t xml:space="preserve">— List: intenzita zelené barvy</w:t>
            </w:r>
          </w:p>
        </w:tc>
      </w:tr>
      <w:tr>
        <w:trPr/>
        <w:tc>
          <w:tcPr/>
          <w:p>
            <w:pPr/>
            <w:r>
              <w:rPr/>
              <w:t xml:space="preserve">CPVO č. 19 </w:t>
            </w:r>
          </w:p>
        </w:tc>
        <w:tc>
          <w:tcPr>
            <w:gridSpan w:val="2"/>
          </w:tcPr>
          <w:p>
            <w:pPr/>
            <w:r>
              <w:rPr/>
              <w:t xml:space="preserve">— Kořen: podíl dřeně v poměru k celkovému průměru</w:t>
            </w:r>
          </w:p>
        </w:tc>
      </w:tr>
      <w:tr>
        <w:trPr/>
        <w:tc>
          <w:tcPr/>
          <w:p>
            <w:pPr/>
            <w:r>
              <w:rPr/>
              <w:t xml:space="preserve">CPVO č. 20 </w:t>
            </w:r>
          </w:p>
        </w:tc>
        <w:tc>
          <w:tcPr>
            <w:gridSpan w:val="2"/>
          </w:tcPr>
          <w:p>
            <w:pPr/>
            <w:r>
              <w:rPr/>
              <w:t xml:space="preserve">— Kořen: barva dřeně (srdéčka) </w:t>
            </w:r>
          </w:p>
        </w:tc>
      </w:tr>
      <w:tr>
        <w:trPr/>
        <w:tc>
          <w:tcPr/>
          <w:p>
            <w:pPr/>
            <w:r>
              <w:rPr/>
              <w:t xml:space="preserve">CPVO č. 21 </w:t>
            </w:r>
          </w:p>
        </w:tc>
        <w:tc>
          <w:tcPr>
            <w:gridSpan w:val="2"/>
          </w:tcPr>
          <w:p>
            <w:pPr/>
            <w:r>
              <w:rPr/>
              <w:t xml:space="preserve">— Vyjma odrůd s bílou barvou dřeně; Kořen: intenzita barvy dřeně </w:t>
            </w:r>
          </w:p>
        </w:tc>
      </w:tr>
      <w:tr>
        <w:trPr/>
        <w:tc>
          <w:tcPr/>
          <w:p>
            <w:pPr/>
            <w:r>
              <w:rPr/>
              <w:t xml:space="preserve">CPVO č. 28 </w:t>
            </w:r>
          </w:p>
        </w:tc>
        <w:tc>
          <w:tcPr>
            <w:gridSpan w:val="2"/>
          </w:tcPr>
          <w:p>
            <w:pPr/>
            <w:r>
              <w:rPr/>
              <w:t xml:space="preserve">— Kořen: doba vybarvení špičky </w:t>
            </w:r>
          </w:p>
        </w:tc>
      </w:tr>
      <w:tr>
        <w:trPr/>
        <w:tc>
          <w:tcPr/>
          <w:p>
            <w:pPr/>
            <w:r>
              <w:rPr/>
              <w:t xml:space="preserve">CPVO č. 29 </w:t>
            </w:r>
          </w:p>
        </w:tc>
        <w:tc>
          <w:tcPr>
            <w:gridSpan w:val="2"/>
          </w:tcPr>
          <w:p>
            <w:pPr/>
            <w:r>
              <w:rPr/>
              <w:t xml:space="preserve">— Rostlina: výška kvetoucí rostliny (první otevřený okolík) </w:t>
            </w:r>
          </w:p>
        </w:tc>
      </w:tr>
      <w:tr>
        <w:trPr/>
        <w:tc>
          <w:tcPr>
            <w:gridSpan w:val="3"/>
          </w:tcPr>
          <w:p>
            <w:pPr/>
            <w:r>
              <w:rPr/>
              <w:t xml:space="preserve"> </w:t>
            </w:r>
            <w:r>
              <w:rPr>
                <w:b/>
                <w:bCs/>
              </w:rPr>
              <w:t xml:space="preserve">2.2. Kedluben</w:t>
            </w:r>
            <w:br/>
            <w:r>
              <w:rPr/>
              <w:t xml:space="preserve"> U odrůd patřících k druhu kedluben (</w:t>
            </w:r>
            <w:r>
              <w:rPr>
                <w:i/>
                <w:iCs/>
              </w:rPr>
              <w:t xml:space="preserve">Brassica oleracea</w:t>
            </w:r>
            <w:r>
              <w:rPr/>
              <w:t xml:space="preserve"> L.) se následující znaky OUS zkoušené odrůdy v protokolu CPVO-TP/065/1 Rev. mohou odchýlit od následujících požadavků OUS na uniformitu v příslušném technickém protokolu CPVO: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CPVO č. 2</w:t>
            </w:r>
          </w:p>
        </w:tc>
        <w:tc>
          <w:tcPr/>
          <w:p>
            <w:pPr/>
            <w:r>
              <w:rPr/>
              <w:t xml:space="preserve">— Klíční rostlina: intenzita zeleného zbarvení děložních lístků 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CPVO č. 6</w:t>
            </w:r>
          </w:p>
        </w:tc>
        <w:tc>
          <w:tcPr/>
          <w:p>
            <w:pPr/>
            <w:r>
              <w:rPr/>
              <w:t xml:space="preserve">— Řapík: postavení 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CPVO č. 8</w:t>
            </w:r>
          </w:p>
        </w:tc>
        <w:tc>
          <w:tcPr/>
          <w:p>
            <w:pPr/>
            <w:r>
              <w:rPr/>
              <w:t xml:space="preserve">— Listová čepel: délka 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CPVO č. 9</w:t>
            </w:r>
          </w:p>
        </w:tc>
        <w:tc>
          <w:tcPr/>
          <w:p>
            <w:pPr/>
            <w:r>
              <w:rPr/>
              <w:t xml:space="preserve">— Listová čepel: šířka 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CPVO č. 10</w:t>
            </w:r>
          </w:p>
        </w:tc>
        <w:tc>
          <w:tcPr/>
          <w:p>
            <w:pPr/>
            <w:r>
              <w:rPr/>
              <w:t xml:space="preserve">— Listová čepel: tvar vrcholu 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CPVO č. 11</w:t>
            </w:r>
          </w:p>
        </w:tc>
        <w:tc>
          <w:tcPr/>
          <w:p>
            <w:pPr/>
            <w:r>
              <w:rPr/>
              <w:t xml:space="preserve">— Listová čepel: dělení ke střednímu žebru (na dolní části listu) 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CPVO č. 12</w:t>
            </w:r>
          </w:p>
        </w:tc>
        <w:tc>
          <w:tcPr/>
          <w:p>
            <w:pPr/>
            <w:r>
              <w:rPr/>
              <w:t xml:space="preserve">— Listová čepel: počet zářezů na okraji (na horní části listu) 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CPVO č. 13</w:t>
            </w:r>
          </w:p>
        </w:tc>
        <w:tc>
          <w:tcPr/>
          <w:p>
            <w:pPr/>
            <w:r>
              <w:rPr/>
              <w:t xml:space="preserve">— Listová čepel: hloubka zářezů na okraji (na horní části listu) 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CPVO č. 14 </w:t>
            </w:r>
          </w:p>
        </w:tc>
        <w:tc>
          <w:tcPr/>
          <w:p>
            <w:pPr/>
            <w:r>
              <w:rPr/>
              <w:t xml:space="preserve">— Listová čepel: profil svrchní strany</w:t>
            </w:r>
          </w:p>
        </w:tc>
      </w:tr>
      <w:tr>
        <w:trPr/>
        <w:tc>
          <w:tcPr>
            <w:gridSpan w:val="2"/>
          </w:tcPr>
          <w:p>
            <w:pPr/>
            <w:r>
              <w:rPr/>
              <w:t xml:space="preserve">CPVO č. 19 </w:t>
            </w:r>
          </w:p>
        </w:tc>
        <w:tc>
          <w:tcPr/>
          <w:p>
            <w:pPr/>
            <w:r>
              <w:rPr/>
              <w:t xml:space="preserve">— Bulva: počet vnitřních listů </w:t>
            </w:r>
          </w:p>
        </w:tc>
      </w:tr>
      <w:tr>
        <w:trPr/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  <w:tc>
          <w:tcPr/>
          <w:p>
            <w:pPr/>
            <w:r>
              <w:rPr/>
              <w:t xml:space="preserve"> </w:t>
            </w:r>
          </w:p>
        </w:tc>
      </w:tr>
    </w:tbl>
    <w:p>
      <w:pPr>
        <w:ind w:left="560" w:right="0"/>
      </w:pPr>
      <w:r>
        <w:rPr/>
        <w:t xml:space="preserve">“</w:t>
      </w:r>
    </w:p>
    <w:p>
      <w:pPr>
        <w:pStyle w:val="Heading1"/>
      </w:pPr>
      <w:r>
        <w:rPr>
          <w:b/>
          <w:bCs/>
        </w:rPr>
        <w:t xml:space="preserve">Čl. II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července 2023.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zemědělství:</w:t>
      </w:r>
    </w:p>
    <w:p>
      <w:pPr>
        <w:jc w:val="center"/>
        <w:ind w:left="0" w:right="0"/>
        <w:spacing w:after="0"/>
      </w:pPr>
      <w:r>
        <w:rPr/>
        <w:t xml:space="preserve">Ing. </w:t>
      </w:r>
      <w:r>
        <w:rPr>
          <w:b/>
          <w:bCs/>
        </w:rPr>
        <w:t xml:space="preserve">Nekula</w:t>
      </w:r>
      <w:r>
        <w:rPr/>
        <w:t xml:space="preserve"> v. r.</w:t>
      </w:r>
    </w:p>
    <w:sectPr>
      <w:headerReference w:type="default" r:id="rId23"/>
      <w:footerReference w:type="default" r:id="rId24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128/2023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SB&amp;CP=2019s218" TargetMode="External"/><Relationship Id="rId8" Type="http://schemas.openxmlformats.org/officeDocument/2006/relationships/hyperlink" Target="https://esipa.cz/sbirka/sbsrv.dll/sb?DR=AZ&amp;CP=2003s219-2020s334#P30" TargetMode="External"/><Relationship Id="rId9" Type="http://schemas.openxmlformats.org/officeDocument/2006/relationships/hyperlink" Target="https://esipa.cz/sbirka/sbsrv.dll/sb?DR=SB&amp;CP=2003s219" TargetMode="External"/><Relationship Id="rId10" Type="http://schemas.openxmlformats.org/officeDocument/2006/relationships/hyperlink" Target="https://esipa.cz/sbirka/sbsrv.dll/sb?DR=SB&amp;CP=2006s178" TargetMode="External"/><Relationship Id="rId11" Type="http://schemas.openxmlformats.org/officeDocument/2006/relationships/hyperlink" Target="https://esipa.cz/sbirka/sbsrv.dll/sb?DR=SB&amp;CP=2020s334" TargetMode="External"/><Relationship Id="rId12" Type="http://schemas.openxmlformats.org/officeDocument/2006/relationships/hyperlink" Target="https://esipa.cz/sbirka/sbsrv.dll/sb?DR=SB&amp;CP=2020s256" TargetMode="External"/><Relationship Id="rId13" Type="http://schemas.openxmlformats.org/officeDocument/2006/relationships/hyperlink" Target="https://esipa.cz/sbirka/sbsrv.dll/sb?DR=SB&amp;CP=2021s447" TargetMode="External"/><Relationship Id="rId14" Type="http://schemas.openxmlformats.org/officeDocument/2006/relationships/hyperlink" Target="https://esipa.cz/sbirka/sbsrv.dll/sb?DR=SB&amp;CP=2022s387" TargetMode="External"/><Relationship Id="rId15" Type="http://schemas.openxmlformats.org/officeDocument/2006/relationships/hyperlink" Target="https://esipa.cz/sbirka/sbsrv.dll/sb?DR=SB&amp;CP=32022L1647" TargetMode="External"/><Relationship Id="rId16" Type="http://schemas.openxmlformats.org/officeDocument/2006/relationships/hyperlink" Target="https://esipa.cz/sbirka/sbsrv.dll/sb?DR=SB&amp;CP=32003L0090" TargetMode="External"/><Relationship Id="rId17" Type="http://schemas.openxmlformats.org/officeDocument/2006/relationships/hyperlink" Target="https://esipa.cz/sbirka/sbsrv.dll/sb?DR=SB&amp;CP=32022L1648" TargetMode="External"/><Relationship Id="rId18" Type="http://schemas.openxmlformats.org/officeDocument/2006/relationships/hyperlink" Target="https://esipa.cz/sbirka/sbsrv.dll/sb?DR=SB&amp;CP=32003L0091" TargetMode="External"/><Relationship Id="rId19" Type="http://schemas.openxmlformats.org/officeDocument/2006/relationships/hyperlink" Target="https://esipa.cz/sbirka/sbsrv.dll/sb?DR=AZ&amp;CP=2019s218-2022s387#P4" TargetMode="External"/><Relationship Id="rId20" Type="http://schemas.openxmlformats.org/officeDocument/2006/relationships/hyperlink" Target="https://esipa.cz/sbirka/sbsrv.dll/sb?DR=AZ&amp;CP=2019s218-2022s387#P5" TargetMode="External"/><Relationship Id="rId21" Type="http://schemas.openxmlformats.org/officeDocument/2006/relationships/hyperlink" Target="https://esipa.cz/sbirka/sbsrv.dll/sb?DR=AZ&amp;CP=2019s218-2023s128#P4" TargetMode="External"/><Relationship Id="rId22" Type="http://schemas.openxmlformats.org/officeDocument/2006/relationships/hyperlink" Target="https://esipa.cz/sbirka/sbsrv.dll/sb?DR=AZ&amp;CP=2019s218-2023s128#P5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128/2023 Sb. - původní znění</dc:title>
  <dc:description>Vyhláška, kterou se mění vyhláška č. 218/2019 Sb., o výčtu metodik zkoušek odlišnosti, uniformity, stálosti a užitné hodnoty odrůd, ve znění pozdějších předpisů</dc:description>
  <dc:subject/>
  <cp:keywords/>
  <cp:category/>
  <cp:lastModifiedBy/>
  <dcterms:created xsi:type="dcterms:W3CDTF">2023-07-01T00:00:00+02:00</dcterms:created>
  <dcterms:modified xsi:type="dcterms:W3CDTF">2023-11-24T13:00:14+01:00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