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67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ZÁKON</w:t>
      </w:r>
    </w:p>
    <w:p>
      <w:pPr>
        <w:jc w:val="center"/>
        <w:ind w:left="0" w:right="0"/>
        <w:spacing w:after="0"/>
      </w:pPr>
      <w:r>
        <w:rPr/>
        <w:t xml:space="preserve">ze dne 15. února 2023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některých opatřeních proti šíření teroristického obsahu online</w:t>
      </w:r>
    </w:p>
    <w:p/>
    <w:p>
      <w:pPr>
        <w:jc w:val="left"/>
        <w:ind w:left="0" w:right="0"/>
        <w:spacing w:after="0"/>
      </w:pPr>
      <w:r>
        <w:rPr/>
        <w:t xml:space="preserve">Parlament se usnesl na tomto zákoně České republiky: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Předmět úpravy</w:t>
      </w:r>
    </w:p>
    <w:p>
      <w:pPr>
        <w:ind w:left="0" w:right="0"/>
      </w:pPr>
      <w:r>
        <w:rPr/>
        <w:t xml:space="preserve">Tento zákon v návaznosti na přímo použitelný předpis Evropské unie</w:t>
      </w:r>
      <w:r>
        <w:rPr>
          <w:vertAlign w:val="superscript"/>
        </w:rPr>
        <w:t xml:space="preserve">1</w:t>
      </w:r>
      <w:r>
        <w:rPr/>
        <w:t xml:space="preserve">)</w:t>
      </w:r>
      <w:r>
        <w:rPr/>
        <w:t xml:space="preserve"> k ochraně před zneužíváním hostingových služeb k veřejnému šíření teroristického obsahu online upravuje působnost správních orgánů vykonávajících státní správu na tomto úseku, pravomoc soudů, práva a povinnosti při odstraňování teroristického obsahu online a související přestupky.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Příkaz k odstranění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Zjistí-li útvar Policie České republiky, jehož úkolem je boj s terorismem, (dále jen „policie“), že dochází ke zneužití hostingových služeb k veřejnému šíření teroristického obsahu online, může přikázat podle čl. 3 nařízení Evropského parlamentu a Rady </w:t>
      </w:r>
      <w:hyperlink r:id="rId7" w:history="1">
        <w:r>
          <w:rPr>
            <w:color w:val="darkblue"/>
            <w:u w:val="single"/>
          </w:rPr>
          <w:t xml:space="preserve">(EU) 2021/784</w:t>
        </w:r>
      </w:hyperlink>
      <w:r>
        <w:rPr/>
        <w:t xml:space="preserve"> (dále jen „nařízení“) odstranění teroristického obsahu nebo znemožnění přístupu k němu, a to na formuláři podle přílohy I nařízení. Při posuzování, zda dochází k veřejnému šíření teroristického obsahu online, policie přihlédne zejména ke skutečnému účelu šíření obsahu.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Vydání příkazu k odstranění teroristického obsahu nebo znemožnění přístupu k němu (dále jen „příkaz k odstranění“) je prvním úkonem v řízení. Příkaz k odstranění se oznamuje pouze poskytovateli hostingové služby a lze jej doručit způsobem uvedeným v </w:t>
      </w:r>
      <w:r>
        <w:rPr/>
        <w:t xml:space="preserve">§ 7</w:t>
      </w:r>
      <w:r>
        <w:rPr/>
        <w:t xml:space="preserve"> odst. 2.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Odvolání proti příkazu k odstranění nemá odkladný účinek.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Policie zřídí kontaktní místo podle čl. 12 odst. 2 nařízení k plnění úkolů podle čl. 3 odst. 6 až 8 nařízení a způsobem umožňujícím nepřetržitý dálkový přístup zveřejní telefonní číslo pro veřejnou komunikační síť a adresu elektronické pošty, popřípadě další kontaktní údaje kontaktního místa.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Odložení informování o odstranění teroristického obsahu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Dobu, po kterou není poskytovatel obsahu informován o odstranění teroristického obsahu nebo o znemožnění přístupu k němu, může policie podle čl. 11 odst. 3 nařízení prodloužit.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Na postup podle odstavce 1 se </w:t>
      </w:r>
      <w:r>
        <w:rPr/>
        <w:t xml:space="preserve">§ 2</w:t>
      </w:r>
      <w:r>
        <w:rPr/>
        <w:t xml:space="preserve"> odst. 2 a 3 použijí obdobně.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Během doby, po kterou je odloženo informování poskytovatele obsahu o odstranění teroristického obsahu nebo o znemožnění přístupu k němu, nelze takovou informaci ani jinak zveřejnit nebo zpřístupnit třetím osobám.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Přeshraniční příkaz k odstranění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Ministerstvo vnitra (dále jen „ministerstvo“) podle čl. 4 nařízení rozhoduje, zda příkaz k odstranění předaný ministerstvu podle čl. 4 odst. 1 nařízení porušuje nařízení nebo Listinu základních práv Evropské unie.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Vydání rozhodnutí podle čl. 4 odst. 3 nařízení je prvním úkonem v řízení. Při vydání rozhodnutí podle čl. 4 odst. 4 nařízení se </w:t>
      </w:r>
      <w:hyperlink r:id="rId8" w:history="1">
        <w:r>
          <w:rPr>
            <w:color w:val="darkblue"/>
            <w:u w:val="single"/>
          </w:rPr>
          <w:t xml:space="preserve">§ 36</w:t>
        </w:r>
      </w:hyperlink>
      <w:r>
        <w:rPr/>
        <w:t xml:space="preserve"> odst. 3 správního řádu nepoužije. Proti rozhodnutí podle vět první a druhé nelze podat rozklad.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Dohled nad prováděním zvláštních opatření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Český telekomunikační úřad (dále jen „Úřad“) vykonává dohled nad prováděním zvláštních opatření podle čl. 5 nařízení. V rámci výkonu dohledu může Úřad provádět kontrolu podle kontrolního řádu.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Vydání rozhodnutí Úřadem z moci úřední podle čl. 5 odst. 4 nebo 6 nařízení může být prvním úkonem v řízení.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Úřad na základě žádosti poskytovatele hostingových služeb nebo z moci úřední rozhoduje o tom, že poskytovatel hostingových služeb již není podle čl. 5 odst. 4 nařízení vystaven teroristickému obsahu. Vydání rozhodnutí podle věty první může být prvním úkonem správního orgánu v řízení.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Je-li to nezbytné k zajištění spolehlivého plnění povinností poskytovatele hostingových služeb podle nařízení, může Úřad tomuto poskytovateli nařídit využívání specializovaného elektronického systému spravovaného Europolem (dále jen „systém Europolu“), je-li zřízen, ke komunikaci podle </w:t>
      </w:r>
      <w:r>
        <w:rPr/>
        <w:t xml:space="preserve">§ 7</w:t>
      </w:r>
      <w:r>
        <w:rPr/>
        <w:t xml:space="preserve"> odst. 1. Vydání rozhodnutí podle věty první je prvním úkonem v řízení.</w:t>
      </w:r>
    </w:p>
    <w:p>
      <w:pPr>
        <w:ind w:left="0" w:right="0"/>
      </w:pPr>
      <w:r>
        <w:rPr>
          <w:b/>
          <w:bCs/>
        </w:rPr>
        <w:t xml:space="preserve">(5)</w:t>
      </w:r>
      <w:r>
        <w:rPr/>
        <w:t xml:space="preserve"> Rozhodnutí podle odstavců 2 až 4 lze doručit způsobem uvedeným v </w:t>
      </w:r>
      <w:r>
        <w:rPr/>
        <w:t xml:space="preserve">§ 7</w:t>
      </w:r>
      <w:r>
        <w:rPr/>
        <w:t xml:space="preserve"> odst. 2.</w:t>
      </w:r>
    </w:p>
    <w:p>
      <w:pPr>
        <w:ind w:left="0" w:right="0"/>
      </w:pPr>
      <w:r>
        <w:rPr>
          <w:b/>
          <w:bCs/>
        </w:rPr>
        <w:t xml:space="preserve">(6)</w:t>
      </w:r>
      <w:r>
        <w:rPr/>
        <w:t xml:space="preserve"> Rozklad proti rozhodnutí podle odstavců 2 a 4 nemá odkladný účinek.</w:t>
      </w:r>
    </w:p>
    <w:p>
      <w:pPr>
        <w:pStyle w:val="Heading1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Výměna informací a spolupráce mezi příslušnými orgány</w:t>
      </w:r>
    </w:p>
    <w:p>
      <w:pPr>
        <w:ind w:left="0" w:right="0"/>
      </w:pPr>
      <w:r>
        <w:rPr/>
        <w:t xml:space="preserve">Orgány příslušné podle tohoto zákona navzájem spolupracují při plnění svých úkolů a navzájem si předávají, a to i bez žádosti, informace, včetně osobních údajů, které jsou nezbytné pro plnění úkolů v rámci jejich působnosti podle tohoto zákona a podle nařízení. Obdobně policie, ministerstvo a Úřad spolupracují a vyměňují si informace, včetně osobních údajů, které jsou nezbytné pro plnění úkolů podle nařízení, s příslušnými orgány jiných členských států Evropské unie nebo států, které jsou smluvními stranami Evropského hospodářského prostoru, a s Europolem, a to i prostřednictvím systému Europolu, je-li zřízen.</w:t>
      </w:r>
    </w:p>
    <w:p>
      <w:pPr>
        <w:pStyle w:val="Heading1"/>
      </w:pPr>
      <w:r>
        <w:rPr>
          <w:b/>
          <w:bCs/>
        </w:rPr>
        <w:t xml:space="preserve">§ 7</w:t>
      </w:r>
      <w:r>
        <w:rPr>
          <w:rStyle w:val="hidden"/>
        </w:rPr>
        <w:t xml:space="preserve"> -</w:t>
      </w:r>
      <w:br/>
      <w:r>
        <w:rPr/>
        <w:t xml:space="preserve">Komunikace příslušných orgánů s poskytovateli hostingových služeb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Policie může ke komunikaci s poskytovateli hostingových služeb využívat systém Europolu, je-li zřízen.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Není-li využit systém Europolu, využije se jiný elektronický prostředek nebo kontaktní údaje, které pro účely komunikace se svým kontaktním místem určil poskytovatel hostingových služeb.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Využívá-li poskytovatel hostingových služeb systém Europolu, doručuje ministerstvo a Úřad prostřednictvím tohoto systému.</w:t>
      </w:r>
    </w:p>
    <w:p>
      <w:pPr>
        <w:pStyle w:val="Heading1"/>
      </w:pPr>
      <w:r>
        <w:rPr>
          <w:b/>
          <w:bCs/>
        </w:rPr>
        <w:t xml:space="preserve">§ 8</w:t>
      </w:r>
      <w:r>
        <w:rPr>
          <w:rStyle w:val="hidden"/>
        </w:rPr>
        <w:t xml:space="preserve"> -</w:t>
      </w:r>
      <w:br/>
      <w:r>
        <w:rPr/>
        <w:t xml:space="preserve">Poskytování informací o přijatých opatřeních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Policie, ministerstvo a poskytovatelé hostingových služeb předávají Úřadu informace uvedené v čl. 21 nařízení. Úřad tyto informace předává Evropské komisi.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Policie, ministerstvo a Úřad zveřejňují výroční zprávy podle čl. 8 nařízení.</w:t>
      </w:r>
    </w:p>
    <w:p>
      <w:pPr>
        <w:pStyle w:val="Heading1"/>
      </w:pPr>
      <w:r>
        <w:rPr>
          <w:b/>
          <w:bCs/>
        </w:rPr>
        <w:t xml:space="preserve">§ 9</w:t>
      </w:r>
      <w:r>
        <w:rPr>
          <w:rStyle w:val="hidden"/>
        </w:rPr>
        <w:t xml:space="preserve"> -</w:t>
      </w:r>
      <w:br/>
      <w:r>
        <w:rPr/>
        <w:t xml:space="preserve">Dočasné zachování teroristického obsahu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Rozhoduje-li soud o žalobě proti příkazu k odstranění nebo proti rozhodnutí o povinnosti přijmout zvláštní opatření, které vedly k odstranění teroristického obsahu nebo ke znemožnění přístupu k němu, může podle čl. 6 odst. 2 nařízení prodloužit dobu zachování teroristického obsahu a souvisejících údajů.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Vede-li Úřad řízení o zvláštním opatření, které vedlo k odstranění teroristického obsahu nebo ke znemožnění přístupu k němu, může podle čl. 6 odst. 2 nařízení prodloužit dobu zachování teroristického obsahu a souvisejících údajů.</w:t>
      </w:r>
    </w:p>
    <w:p>
      <w:pPr>
        <w:pStyle w:val="Heading1"/>
      </w:pPr>
      <w:r>
        <w:rPr>
          <w:b/>
          <w:bCs/>
        </w:rPr>
        <w:t xml:space="preserve">§ 10</w:t>
      </w:r>
      <w:r>
        <w:rPr>
          <w:rStyle w:val="hidden"/>
        </w:rPr>
        <w:t xml:space="preserve"> -</w:t>
      </w:r>
      <w:br/>
      <w:r>
        <w:rPr/>
        <w:t xml:space="preserve">Exekuce ukládáním donucovacích pokut</w:t>
      </w:r>
    </w:p>
    <w:p>
      <w:pPr>
        <w:ind w:left="0" w:right="0"/>
      </w:pPr>
      <w:r>
        <w:rPr/>
        <w:t xml:space="preserve">Výše jednotlivé donucovací pokuty, kterou může Úřad uložit poskytovateli hostingových služeb k vymožení jím uložené povinnosti, nepřekročí 100 000 Kč.</w:t>
      </w:r>
    </w:p>
    <w:p>
      <w:pPr>
        <w:pStyle w:val="Heading1"/>
      </w:pPr>
      <w:r>
        <w:rPr>
          <w:b/>
          <w:bCs/>
        </w:rPr>
        <w:t xml:space="preserve">Přestupky</w:t>
      </w:r>
    </w:p>
    <w:p>
      <w:pPr>
        <w:pStyle w:val="Heading2"/>
      </w:pPr>
      <w:r>
        <w:rPr>
          <w:b/>
          <w:bCs/>
        </w:rPr>
        <w:t xml:space="preserve">§ 11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Poskytovatel hostingových služeb se dopustí přestupku tím, že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neodstraní teroristický obsah nebo neznemožní přístup k teroristickému obsahu podle čl. 3 odst. 3 nebo čl. 4 odst. 2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neinformuje bez zbytečného odkladu příslušný orgán podle čl. 3 odst. 6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neobnoví obsah nebo k němu znovu neumožní přístup podle čl. 4 odst. 7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nezavede nebo neuplatňuje ustanovení týkající se zneužívání jeho služeb k veřejnému šíření teroristického obsahu podle čl. 5 odst. 1 nařízení, je-li vystaven teroristickému obsahu,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nepřijme nebo neuplatňuje zvláštní opatření na ochranu svých služeb proti veřejnému šíření teroristického obsahu podle čl. 5 odst. 2, 3 nebo 6 nařízení, je-li vystaven teroristickému obsahu,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neoznámí Úřadu zvláštní opatření, která přijal nebo hodlá přijmout, podle čl. 5 odst. 5 nařízení, je-li vystaven teroristickému obsahu,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nezachová teroristický obsah a související údaje nebo nepoužívá vhodné technické a organizační záruky podle čl. 6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nezveřejní zprávu o transparentnosti nebo nevymezí svou politiku na potírání šíření teroristického obsahu podle čl. 7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i)</w:t>
      </w:r>
      <w:r>
        <w:rPr/>
        <w:t xml:space="preserve">	</w:t>
      </w:r>
      <w:r>
        <w:rPr/>
        <w:t xml:space="preserve">nezavede nebo neprovádí mechanismus pro podávání stížností podle čl. 10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j)</w:t>
      </w:r>
      <w:r>
        <w:rPr/>
        <w:t xml:space="preserve">	</w:t>
      </w:r>
      <w:r>
        <w:rPr/>
        <w:t xml:space="preserve">neposkytne poskytovateli obsahu informaci o odstranění teroristického obsahu nebo o znemožnění přístupu k němu podle čl. 11 odst. 1 nařízení, ačkoliv nebylo informování odloženo podle </w:t>
      </w:r>
      <w:r>
        <w:rPr/>
        <w:t xml:space="preserve">§ 3</w:t>
      </w:r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k)</w:t>
      </w:r>
      <w:r>
        <w:rPr/>
        <w:t xml:space="preserve">	</w:t>
      </w:r>
      <w:r>
        <w:rPr/>
        <w:t xml:space="preserve">neposkytne poskytovateli obsahu podle čl. 11 odst. 2 nařízení informaci nebo kopii příkazu k odstranění, ačkoli nebylo informování odloženo podle </w:t>
      </w:r>
      <w:r>
        <w:rPr/>
        <w:t xml:space="preserve">§ 3</w:t>
      </w:r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l)</w:t>
      </w:r>
      <w:r>
        <w:rPr/>
        <w:t xml:space="preserve">	</w:t>
      </w:r>
      <w:r>
        <w:rPr/>
        <w:t xml:space="preserve">poskytne, zpřístupní nebo zveřejní informaci uvedenou v čl. 11 odst. 1 nebo 2 nařízení v době, po kterou bylo informování odloženo podle </w:t>
      </w:r>
      <w:r>
        <w:rPr/>
        <w:t xml:space="preserve">§ 3</w:t>
      </w:r>
      <w:r>
        <w:rPr/>
        <w:t xml:space="preserve">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m)</w:t>
      </w:r>
      <w:r>
        <w:rPr/>
        <w:t xml:space="preserve">	</w:t>
      </w:r>
      <w:r>
        <w:rPr/>
        <w:t xml:space="preserve">dozví-li se o teroristickém obsahu, jenž bezprostředně ohrožuje život, neprodleně neuvědomí orgány příslušné k vyšetřování a stíhání trestných činů v dotčených členských státech, neuvědomí kontaktní místo, jehož kontaktní údaje jsou zveřejněné podle </w:t>
      </w:r>
      <w:r>
        <w:rPr/>
        <w:t xml:space="preserve">§ 2</w:t>
      </w:r>
      <w:r>
        <w:rPr/>
        <w:t xml:space="preserve"> odst. 4 nebo nepředá informace o teroristickém obsahu Europolu podle čl. 14 odst. 5 nařízení,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n)</w:t>
      </w:r>
      <w:r>
        <w:rPr/>
        <w:t xml:space="preserve">	</w:t>
      </w:r>
      <w:r>
        <w:rPr/>
        <w:t xml:space="preserve">neurčí nebo nezřídí kontaktní místo k přijímání příkazů k odstranění elektronickou cestou a jejich urychlenému zpracování nebo informace o kontaktním místě neučiní veřejně dostupnými podle čl. 15 odst. 1 nařízení,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o)</w:t>
      </w:r>
      <w:r>
        <w:rPr/>
        <w:t xml:space="preserve">	</w:t>
      </w:r>
      <w:r>
        <w:rPr/>
        <w:t xml:space="preserve">v případě, že nemá hlavní provozovnu na území Evropské unie,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neurčí písemně právního zástupce podle čl. 17 odst. 1 nařízení,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svému právnímu zástupci neposkytne nezbytné pravomoci a zdroje pro plnění příkazů k odstranění a rozhodnutí a pro spolupráci s příslušnými orgány podle čl. 17 odst. 2 nařízení, nebo</w:t>
      </w:r>
    </w:p>
    <w:p>
      <w:pPr>
        <w:ind w:left="900" w:right="0" w:hanging="900"/>
        <w:tabs>
          <w:tab w:val="right" w:leader="none" w:pos="840"/>
          <w:tab w:val="left" w:leader="none" w:pos="90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určení právního zástupce, který má bydliště nebo je usazen v České republice, nezveřejní nebo neoznámí Úřadu podle čl. 17 odst. 4 nařízení.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Právní zástupce určený podle čl. 17 nařízení se dopustí přestupku tím, že neposkytuje náležitou součinnost pro účely přijímání, dodržování a vymáhání příkazů k odstranění a rozhodnutí vydaných podle tohoto nařízení, čímž způsobí porušení některé z povinností uvedených v odstavci 1 písm. a) až n).</w:t>
      </w:r>
    </w:p>
    <w:p>
      <w:pPr>
        <w:ind w:left="0" w:right="0"/>
      </w:pPr>
      <w:r>
        <w:rPr>
          <w:b/>
          <w:bCs/>
        </w:rPr>
        <w:t xml:space="preserve">(3)</w:t>
      </w:r>
      <w:r>
        <w:rPr/>
        <w:t xml:space="preserve"> Za přestupek podle odstavce 1 nebo 2 lze uložit pokutu do 200 000 Kč.</w:t>
      </w:r>
    </w:p>
    <w:p>
      <w:pPr>
        <w:ind w:left="0" w:right="0"/>
      </w:pPr>
      <w:r>
        <w:rPr>
          <w:b/>
          <w:bCs/>
        </w:rPr>
        <w:t xml:space="preserve">(4)</w:t>
      </w:r>
      <w:r>
        <w:rPr/>
        <w:t xml:space="preserve"> Porušuje-li poskytovatel hostingových služeb soustavným nebo přetrvávajícím jednáním povinnosti podle čl. 3 odst. 3 nařízení, uloží se mu pokuta do výše 4 % celosvětového obratu poskytovatele hostingových služeb v předcházejícím hospodářském roce; je-li tato částka nižší než 500 000 Kč, uloží se pokuta do 500 000 Kč.</w:t>
      </w:r>
    </w:p>
    <w:p>
      <w:pPr>
        <w:pStyle w:val="Heading2"/>
      </w:pPr>
      <w:r>
        <w:rPr>
          <w:b/>
          <w:bCs/>
        </w:rPr>
        <w:t xml:space="preserve">§ 12</w:t>
      </w:r>
    </w:p>
    <w:p>
      <w:pPr>
        <w:ind w:left="0" w:right="0"/>
      </w:pPr>
      <w:r>
        <w:rPr/>
        <w:t xml:space="preserve">Přestupky podle tohoto zákona projednává a pokuty vybírá a vymáhá Úřad.</w:t>
      </w:r>
    </w:p>
    <w:p>
      <w:pPr>
        <w:pStyle w:val="Heading1"/>
      </w:pPr>
      <w:r>
        <w:rPr>
          <w:b/>
          <w:bCs/>
        </w:rPr>
        <w:t xml:space="preserve">§ 13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Tento zákon nabývá účinnosti patnáctým dnem po jeho vyhlášení.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Pekarová</w:t>
      </w:r>
      <w:r>
        <w:rPr/>
        <w:t xml:space="preserve"> </w:t>
      </w:r>
      <w:r>
        <w:rPr>
          <w:b/>
          <w:bCs/>
        </w:rPr>
        <w:t xml:space="preserve">Adamová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Zeman</w:t>
      </w:r>
      <w:r>
        <w:rPr/>
        <w:t xml:space="preserve"> v. r.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>
          <w:b/>
          <w:bCs/>
        </w:rPr>
        <w:t xml:space="preserve">Fiala</w:t>
      </w:r>
      <w:r>
        <w:rPr/>
        <w:t xml:space="preserve"> v. r.</w:t>
      </w:r>
    </w:p>
    <w:p>
      <w:pPr>
        <w:spacing w:after="200"/>
      </w:pPr>
      <w:pPr>
        <w:rPr/>
      </w:pPr>
    </w:p>
    <w:p>
      <w:pPr/>
      <w:r>
        <w:pict>
          <v:shape id="_x0000_s1079" type="#_x0000_t32" style="width:200pt; height:0pt; margin-left:0pt; margin-top:0pt; mso-position-horizontal:left; mso-position-vertical:top; mso-position-horizontal-relative:char; mso-position-vertical-relative:line;">
            <w10:wrap type="inline"/>
            <v:stroke weight="2pt" color="#000"/>
          </v:shape>
        </w:pic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vertAlign w:val="superscript"/>
        </w:rPr>
        <w:t xml:space="preserve">1)</w:t>
      </w:r>
      <w:r>
        <w:rPr/>
        <w:t xml:space="preserve">	</w:t>
      </w:r>
      <w:r>
        <w:rPr>
          <w:sz w:val="19.200000000000003"/>
          <w:szCs w:val="19.200000000000003"/>
        </w:rPr>
        <w:t xml:space="preserve">Nařízení Evropského parlamentu a Rady </w:t>
      </w:r>
      <w:hyperlink r:id="rId7" w:history="1">
        <w:r>
          <w:rPr>
            <w:color w:val="darkblue"/>
            <w:u w:val="single"/>
          </w:rPr>
          <w:t xml:space="preserve">(EU) 2021/784</w:t>
        </w:r>
      </w:hyperlink>
      <w:r>
        <w:rPr>
          <w:sz w:val="19.200000000000003"/>
          <w:szCs w:val="19.200000000000003"/>
        </w:rPr>
        <w:t xml:space="preserve"> ze dne 29. dubna 2021 o potírání šíření teroristického obsahu online.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67/2023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32021R0784" TargetMode="External"/><Relationship Id="rId8" Type="http://schemas.openxmlformats.org/officeDocument/2006/relationships/hyperlink" Target="https://esipa.cz/sbirka/sbsrv.dll/sb?DR=AZ&amp;CP=2004s500-2020s403#P36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67/2023 Sb. - původní znění</dc:title>
  <dc:description>Zákon o některých opatřeních proti šíření teroristického obsahu online</dc:description>
  <dc:subject/>
  <cp:keywords/>
  <cp:category/>
  <cp:lastModifiedBy/>
  <dcterms:created xsi:type="dcterms:W3CDTF">2023-03-30T00:00:00+02:00</dcterms:created>
  <dcterms:modified xsi:type="dcterms:W3CDTF">2023-03-14T17:15:26+01:00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