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62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NAŘÍZENÍ VLÁDY</w:t>
      </w:r>
    </w:p>
    <w:p>
      <w:pPr>
        <w:jc w:val="center"/>
        <w:ind w:left="0" w:right="0"/>
        <w:spacing w:after="0"/>
      </w:pPr>
      <w:r>
        <w:rPr/>
        <w:t xml:space="preserve">ze dne 1. března 2023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stanovení podmínek provádění opatření Natura 2000 na zemědělské půdě</w:t>
      </w:r>
    </w:p>
    <w:p/>
    <w:p>
      <w:pPr>
        <w:jc w:val="left"/>
        <w:ind w:left="0" w:right="0"/>
        <w:spacing w:after="0"/>
      </w:pPr>
      <w:r>
        <w:rPr/>
        <w:t xml:space="preserve">Vláda nařizuje podle </w:t>
      </w:r>
      <w:hyperlink r:id="rId7" w:history="1">
        <w:r>
          <w:rPr>
            <w:color w:val="darkblue"/>
            <w:u w:val="single"/>
          </w:rPr>
          <w:t xml:space="preserve">§ 2c</w:t>
        </w:r>
      </w:hyperlink>
      <w:r>
        <w:rPr/>
        <w:t xml:space="preserve"> odst. 5 zákona č. </w:t>
      </w:r>
      <w:hyperlink r:id="rId8" w:history="1">
        <w:r>
          <w:rPr>
            <w:color w:val="darkblue"/>
            <w:u w:val="single"/>
          </w:rPr>
          <w:t xml:space="preserve">252/1997 Sb.</w:t>
        </w:r>
      </w:hyperlink>
      <w:r>
        <w:rPr/>
        <w:t xml:space="preserve">, o zemědělství, ve znění zákona č. </w:t>
      </w:r>
      <w:hyperlink r:id="rId9" w:history="1">
        <w:r>
          <w:rPr>
            <w:color w:val="darkblue"/>
            <w:u w:val="single"/>
          </w:rPr>
          <w:t xml:space="preserve">85/2004 Sb.</w:t>
        </w:r>
      </w:hyperlink>
      <w:r>
        <w:rPr/>
        <w:t xml:space="preserve">, zákona č. </w:t>
      </w:r>
      <w:hyperlink r:id="rId10" w:history="1">
        <w:r>
          <w:rPr>
            <w:color w:val="darkblue"/>
            <w:u w:val="single"/>
          </w:rPr>
          <w:t xml:space="preserve">291/2009 Sb.</w:t>
        </w:r>
      </w:hyperlink>
      <w:r>
        <w:rPr/>
        <w:t xml:space="preserve">, zákona č. </w:t>
      </w:r>
      <w:hyperlink r:id="rId11" w:history="1">
        <w:r>
          <w:rPr>
            <w:color w:val="darkblue"/>
            <w:u w:val="single"/>
          </w:rPr>
          <w:t xml:space="preserve">179/2014 Sb.</w:t>
        </w:r>
      </w:hyperlink>
      <w:r>
        <w:rPr/>
        <w:t xml:space="preserve"> a zákona č. </w:t>
      </w:r>
      <w:hyperlink r:id="rId12" w:history="1">
        <w:r>
          <w:rPr>
            <w:color w:val="darkblue"/>
            <w:u w:val="single"/>
          </w:rPr>
          <w:t xml:space="preserve">382/2022 Sb.</w:t>
        </w:r>
      </w:hyperlink>
      <w:r>
        <w:rPr/>
        <w:t xml:space="preserve">, a podle </w:t>
      </w:r>
      <w:hyperlink r:id="rId13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odst. 3 zákona č. </w:t>
      </w:r>
      <w:hyperlink r:id="rId14" w:history="1">
        <w:r>
          <w:rPr>
            <w:color w:val="darkblue"/>
            <w:u w:val="single"/>
          </w:rPr>
          <w:t xml:space="preserve">256/2000 Sb.</w:t>
        </w:r>
      </w:hyperlink>
      <w:r>
        <w:rPr/>
        <w:t xml:space="preserve">, o Státním zemědělském intervenčním fondu a o změně některých dalších zákonů (zákon o Státním zemědělském intervenčním fondu), ve znění zákona č. </w:t>
      </w:r>
      <w:hyperlink r:id="rId15" w:history="1">
        <w:r>
          <w:rPr>
            <w:color w:val="darkblue"/>
            <w:u w:val="single"/>
          </w:rPr>
          <w:t xml:space="preserve">441/2005 Sb.</w:t>
        </w:r>
      </w:hyperlink>
      <w:r>
        <w:rPr/>
        <w:t xml:space="preserve">, zákona č. </w:t>
      </w:r>
      <w:hyperlink r:id="rId10" w:history="1">
        <w:r>
          <w:rPr>
            <w:color w:val="darkblue"/>
            <w:u w:val="single"/>
          </w:rPr>
          <w:t xml:space="preserve">291/2009 Sb.</w:t>
        </w:r>
      </w:hyperlink>
      <w:r>
        <w:rPr/>
        <w:t xml:space="preserve"> a zákona č. </w:t>
      </w:r>
      <w:hyperlink r:id="rId11" w:history="1">
        <w:r>
          <w:rPr>
            <w:color w:val="darkblue"/>
            <w:u w:val="single"/>
          </w:rPr>
          <w:t xml:space="preserve">179/2014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Předmět úpravy</w:t>
      </w:r>
    </w:p>
    <w:p>
      <w:pPr>
        <w:ind w:left="0" w:right="0"/>
      </w:pPr>
      <w:r>
        <w:rPr/>
        <w:t xml:space="preserve">Toto nařízení upravuje v návaznosti na přímo použitelné předpisy Evropské unie</w:t>
      </w:r>
      <w:r>
        <w:rPr>
          <w:vertAlign w:val="superscript"/>
        </w:rPr>
        <w:t xml:space="preserve">1</w:t>
      </w:r>
      <w:r>
        <w:rPr/>
        <w:t xml:space="preserve">)</w:t>
      </w:r>
      <w:r>
        <w:rPr/>
        <w:t xml:space="preserve"> a v souladu se Strategickým plánem Společné zemědělské politiky Evropské unie v České republice podmínky provádění opatření Natura 2000 na zemědělské půdě.</w:t>
      </w:r>
    </w:p>
    <w:p>
      <w:pPr>
        <w:pStyle w:val="Heading1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Oblasti Natura 2000</w:t>
      </w:r>
    </w:p>
    <w:p>
      <w:pPr>
        <w:ind w:left="0" w:right="0"/>
      </w:pPr>
      <w:r>
        <w:rPr/>
        <w:t xml:space="preserve">Oblastmi Natura 2000, na které se poskytuje dotace, jsou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ptačí oblasti</w:t>
      </w:r>
      <w:r>
        <w:rPr>
          <w:vertAlign w:val="superscript"/>
        </w:rPr>
        <w:t xml:space="preserve">2</w:t>
      </w:r>
      <w:r>
        <w:rPr/>
        <w:t xml:space="preserve">)</w:t>
      </w:r>
      <w:r>
        <w:rPr/>
        <w:t xml:space="preserve"> nacházející se na území národních parků nebo 1. zóny chráněných krajinných oblastí</w:t>
      </w:r>
      <w:r>
        <w:rPr>
          <w:vertAlign w:val="superscript"/>
        </w:rPr>
        <w:t xml:space="preserve">3</w:t>
      </w:r>
      <w:r>
        <w:rPr/>
        <w:t xml:space="preserve">)</w:t>
      </w:r>
      <w:r>
        <w:rPr/>
        <w:t xml:space="preserve">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evropsky významné lokality zařazené do národního seznamu</w:t>
      </w:r>
      <w:r>
        <w:rPr>
          <w:vertAlign w:val="superscript"/>
        </w:rPr>
        <w:t xml:space="preserve">2</w:t>
      </w:r>
      <w:r>
        <w:rPr/>
        <w:t xml:space="preserve">)</w:t>
      </w:r>
      <w:r>
        <w:rPr/>
        <w:t xml:space="preserve"> nacházející se na území národních parků nebo 1. zóny chráněných krajinných oblastí </w:t>
      </w:r>
      <w:r>
        <w:rPr>
          <w:vertAlign w:val="superscript"/>
        </w:rPr>
        <w:t xml:space="preserve">3</w:t>
      </w:r>
      <w:r>
        <w:rPr/>
        <w:t xml:space="preserve">)</w:t>
      </w:r>
      <w:r>
        <w:rPr/>
        <w:t xml:space="preserve">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oblasti s jinými environmentálními omezeními</w:t>
      </w:r>
      <w:r>
        <w:rPr>
          <w:vertAlign w:val="superscript"/>
        </w:rPr>
        <w:t xml:space="preserve">4</w:t>
      </w:r>
      <w:r>
        <w:rPr/>
        <w:t xml:space="preserve">)</w:t>
      </w:r>
      <w:r>
        <w:rPr/>
        <w:t xml:space="preserve">, kterými jsou území národních parků nebo 1. zóny chráněných krajinných oblastí </w:t>
      </w:r>
      <w:r>
        <w:rPr>
          <w:vertAlign w:val="superscript"/>
        </w:rPr>
        <w:t xml:space="preserve">3</w:t>
      </w:r>
      <w:r>
        <w:rPr/>
        <w:t xml:space="preserve">)</w:t>
      </w:r>
      <w:r>
        <w:rPr/>
        <w:t xml:space="preserve">, které se nenacházejí na území ptačí oblasti nebo evropsky významné lokality.</w:t>
      </w:r>
    </w:p>
    <w:p>
      <w:pPr>
        <w:pStyle w:val="Heading1"/>
      </w:pPr>
      <w:r>
        <w:rPr>
          <w:b/>
          <w:bCs/>
        </w:rPr>
        <w:t xml:space="preserve">§ 3</w:t>
      </w:r>
      <w:r>
        <w:rPr>
          <w:rStyle w:val="hidden"/>
        </w:rPr>
        <w:t xml:space="preserve"> -</w:t>
      </w:r>
      <w:br/>
      <w:r>
        <w:rPr/>
        <w:t xml:space="preserve">Žadatel o poskytnutí dotace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Žadatelem o poskytnutí dotace může být fyzická nebo právnická osoba, která zemědělsky obhospodařuje v oblasti Natura 2000 podle </w:t>
      </w:r>
      <w:r>
        <w:rPr/>
        <w:t xml:space="preserve">§ 2</w:t>
      </w:r>
      <w:r>
        <w:rPr/>
        <w:t xml:space="preserve"> nejméně 1 ha zemědělské půdy s druhem zemědělské kultury trvalý travní porost podle nařízení vlády upravujícího podrobnosti evidence využití půdy podle uživatelských vztahů (dále jen „trvalý travní porost“) vedené v evidenci využití půdy podle uživatelských vztahů (dále jen „evidence využití půdy“).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Žadatel o poskytnutí dotace podle odstavce 1 (dále jen „žadatel“) může podat Státnímu zemědělskému intervenčnímu fondu (dále jen „Fond“) žádost o poskytnutí dotace (dále jen „žádost“) do 15. května příslušného kalendářního roku, a to na formuláři jednotné žádosti obsahujícím geoprostorové informace.</w:t>
      </w:r>
    </w:p>
    <w:p>
      <w:pPr>
        <w:pStyle w:val="Heading1"/>
      </w:pPr>
      <w:r>
        <w:rPr>
          <w:b/>
          <w:bCs/>
        </w:rPr>
        <w:t xml:space="preserve">§ 4</w:t>
      </w:r>
      <w:r>
        <w:rPr>
          <w:rStyle w:val="hidden"/>
        </w:rPr>
        <w:t xml:space="preserve"> -</w:t>
      </w:r>
      <w:br/>
      <w:r>
        <w:rPr/>
        <w:t xml:space="preserve">Žádost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Žádost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náležitosti stanovené v </w:t>
      </w:r>
      <w:hyperlink r:id="rId16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2 zákona o zemědělství,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seznam dílů půdních bloků, na které žadatel požaduje dotaci, vedených v evidenci využití půdy a výměru těchto dílů půdních bloků na území 1. zóny chráněné krajinné oblasti a na území národního parku; jde-li o díl půdního bloku, který se celou svojí výměrou nenachází na území oblasti Natura 2000 podle </w:t>
      </w:r>
      <w:r>
        <w:rPr/>
        <w:t xml:space="preserve">§ 2</w:t>
      </w:r>
      <w:r>
        <w:rPr/>
        <w:t xml:space="preserve">, uvedou se v žádosti jednotlivé výměry částí dílu půdního bloku nacházející se v oblasti Natura 2000 podle </w:t>
      </w:r>
      <w:r>
        <w:rPr/>
        <w:t xml:space="preserve">§ 2</w:t>
      </w:r>
      <w:r>
        <w:rPr/>
        <w:t xml:space="preserve">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prohlášení žadatele o tom, že se zavazuje dodržovat pravidla podmíněnosti uvedená v nařízení vlády upravujícím pravidla podmíněnosti plateb zemědělcům.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Minimální výměra, na kterou lze podat žádost, činí 1 ha zemědělské půdy s druhem zemědělské kultury trvalý travní porost v oblasti Natura 2000 podle </w:t>
      </w:r>
      <w:r>
        <w:rPr/>
        <w:t xml:space="preserve">§ 2</w:t>
      </w:r>
      <w:r>
        <w:rPr/>
        <w:t xml:space="preserve">.</w:t>
      </w:r>
    </w:p>
    <w:p>
      <w:pPr>
        <w:pStyle w:val="Heading1"/>
      </w:pPr>
      <w:r>
        <w:rPr>
          <w:b/>
          <w:bCs/>
        </w:rPr>
        <w:t xml:space="preserve">§ 5</w:t>
      </w:r>
      <w:r>
        <w:rPr>
          <w:rStyle w:val="hidden"/>
        </w:rPr>
        <w:t xml:space="preserve"> -</w:t>
      </w:r>
      <w:br/>
      <w:r>
        <w:rPr/>
        <w:t xml:space="preserve">Dotace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Fond poskytne dotaci na díl půdního bloku vedený v evidenci využití půdy nacházející se v oblasti Natura 2000 podle </w:t>
      </w:r>
      <w:r>
        <w:rPr/>
        <w:t xml:space="preserve">§ 2</w:t>
      </w:r>
      <w:r>
        <w:rPr/>
        <w:t xml:space="preserve"> s druhem zemědělské kultury trvalý travní porost.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Výše dotace za příslušný kalendářní rok se vypočte jako součin žadatelem obhospodařované výměry dílů půdních bloků uvedené v žádosti s druhem zemědělské kultury trvalý travní porost v oblasti Natura 2000 podle </w:t>
      </w:r>
      <w:r>
        <w:rPr/>
        <w:t xml:space="preserve">§ 2</w:t>
      </w:r>
      <w:r>
        <w:rPr/>
        <w:t xml:space="preserve"> a sazby uvedené v odstavci 3.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Sazba na 1 ha zemědělské půdy s druhem zemědělské kultury trvalý travní porost v oblasti Natura 2000 podle </w:t>
      </w:r>
      <w:r>
        <w:rPr/>
        <w:t xml:space="preserve">§ 2</w:t>
      </w:r>
      <w:r>
        <w:rPr/>
        <w:t xml:space="preserve"> činí ročně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95 EUR, jedná-li se o díl půdního bloku nacházející se na území 1. zóny chráněné krajinné oblasti,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56 EUR, jedná-li se o díl půdního bloku nacházející se na území národního parku.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Fond poskytne dotaci v měně České republiky; sazba dotace podle odstavce 3 se přepočte podle směnného kurzu, který je uveřejněn ke dni 31. prosince kalendářního roku předcházejícímu roku, za který se dotace poskytuje, v Úředním věstníku Evropské unie. Není-li k tomuto datu směnný kurz stanoven, použije se nejbližší předcházející směnný kurz.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Jestliže se díl půdního bloku nachází jen zčásti v oblasti Natura 2000 podle </w:t>
      </w:r>
      <w:r>
        <w:rPr/>
        <w:t xml:space="preserve">§ 2</w:t>
      </w:r>
      <w:r>
        <w:rPr/>
        <w:t xml:space="preserve">, dotace se poskytne na tuto část dílu půdního bloku.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Minimální výměra, na kterou se dotace poskytuje, činí 1 ha zemědělské půdy s druhem zemědělské kultury trvalý travní porost v oblasti Natura 2000 podle </w:t>
      </w:r>
      <w:r>
        <w:rPr/>
        <w:t xml:space="preserve">§ 2</w:t>
      </w:r>
      <w:r>
        <w:rPr/>
        <w:t xml:space="preserve">.</w:t>
      </w:r>
    </w:p>
    <w:p>
      <w:pPr>
        <w:pStyle w:val="Heading1"/>
      </w:pPr>
      <w:r>
        <w:rPr>
          <w:b/>
          <w:bCs/>
        </w:rPr>
        <w:t xml:space="preserve">§ 6</w:t>
      </w:r>
      <w:r>
        <w:rPr>
          <w:rStyle w:val="hidden"/>
        </w:rPr>
        <w:t xml:space="preserve"> -</w:t>
      </w:r>
      <w:br/>
      <w:r>
        <w:rPr/>
        <w:t xml:space="preserve">Podmínky poskytnutí dotace</w:t>
      </w:r>
    </w:p>
    <w:p>
      <w:pPr>
        <w:ind w:left="0" w:right="0"/>
      </w:pPr>
      <w:r>
        <w:rPr/>
        <w:t xml:space="preserve">Dotace se poskytne, jestliže žadatel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zemědělsky hospodaří v oblasti Natura 2000 podle </w:t>
      </w:r>
      <w:r>
        <w:rPr/>
        <w:t xml:space="preserve">§ 2</w:t>
      </w:r>
      <w:r>
        <w:rPr/>
        <w:t xml:space="preserve"> ode dne podání žádosti do 30. září příslušného kalendářního roku nejméně na 1 ha zemědělské půdy s druhem zemědělské kultury trvalý travní porost,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 kalendářním roce, za který má být dotace poskytnuta,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dodržuje pravidla podmíněnosti uvedená v nařízení vlády upravujícím pravidla podmíněnosti plateb zemědělcům,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dodržuje úplný zákaz používání hnojiv</w:t>
      </w:r>
      <w:r>
        <w:rPr>
          <w:vertAlign w:val="superscript"/>
        </w:rPr>
        <w:t xml:space="preserve">5</w:t>
      </w:r>
      <w:r>
        <w:rPr/>
        <w:t xml:space="preserve">)</w:t>
      </w:r>
      <w:r>
        <w:rPr/>
        <w:t xml:space="preserve">, s výjimkou pastvy hospodářských zvířat, jedná-li se o díl půdního bloku nacházející se na území 1. zóny chráněné krajinné oblasti, a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používá ke hnojení pouze hnůj nebo kompost, jedná-li se o díl půdního bloku nacházející se na území národního parku; za aplikaci hnojiva se nepovažuje pastva zvířat,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má vedeny díly půdních bloků, na které požaduje poskytnutí dotace, v evidenci využití půdy na žadatele po dobu minimálně ode dne podání žádosti Fondu do 30. září příslušného kalendářního roku v oblasti Natura 2000 podle </w:t>
      </w:r>
      <w:r>
        <w:rPr/>
        <w:t xml:space="preserve">§ 2</w:t>
      </w:r>
      <w:r>
        <w:rPr/>
        <w:t xml:space="preserve"> a zároveň se na těchto dílech půdních bloků nachází druh zemědělské kultury trvalý travní porost po celé uvedené období,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zajistí zemědělské obhospodařování v souladu s </w:t>
      </w:r>
      <w:r>
        <w:rPr/>
        <w:t xml:space="preserve">§ 7</w:t>
      </w:r>
      <w:r>
        <w:rPr/>
        <w:t xml:space="preserve"> nařízení vlády upravujícího poskytování přímých plateb zemědělcům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neprovádí mulčování bez souhlasného stanoviska místně příslušného orgánu ochrany přírody.</w:t>
      </w:r>
    </w:p>
    <w:p>
      <w:pPr>
        <w:pStyle w:val="Heading1"/>
      </w:pPr>
      <w:r>
        <w:rPr>
          <w:b/>
          <w:bCs/>
        </w:rPr>
        <w:t xml:space="preserve">§ 7</w:t>
      </w:r>
      <w:r>
        <w:rPr>
          <w:rStyle w:val="hidden"/>
        </w:rPr>
        <w:t xml:space="preserve"> -</w:t>
      </w:r>
      <w:br/>
      <w:r>
        <w:rPr/>
        <w:t xml:space="preserve">Neposkytnutí dotace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Fond dotaci neposkytne, pokud žadatel nesplnil podmínku uvedenou v </w:t>
      </w:r>
      <w:r>
        <w:rPr/>
        <w:t xml:space="preserve">§ 6</w:t>
      </w:r>
      <w:r>
        <w:rPr/>
        <w:t xml:space="preserve"> písm. a).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Fond dotaci neposkytne, pokud žadatel nesplnil podmínku uvedenou v </w:t>
      </w:r>
      <w:r>
        <w:rPr/>
        <w:t xml:space="preserve">§ 6</w:t>
      </w:r>
      <w:r>
        <w:rPr/>
        <w:t xml:space="preserve"> písm. b) bodě 2 nebo 3. Za nesplnění této podmínky se považuje rovněž nepředložení evidence hnojení v průběhu kontroly na místě nebo předložení takové evidence, ze které není možné požadovaný údaj zjistit.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Fond dotaci na příslušný díl půdního bloku neposkytne, pokud žadatel na daném dílu půdního bloku nesplnil podmínku uvedenou v </w:t>
      </w:r>
      <w:r>
        <w:rPr/>
        <w:t xml:space="preserve">§ 6</w:t>
      </w:r>
      <w:r>
        <w:rPr/>
        <w:t xml:space="preserve"> písm. c).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Fond dotaci na příslušný díl půdního bloku na území národního parku neposkytne, pokud se díl půdního bloku nachází v zastavěném území nebo zastavitelné ploše.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Fond dotaci na příslušný díl půdního bloku nebo jeho část neposkytne, pokud žadatel nesplnil podmínku uvedenou v </w:t>
      </w:r>
      <w:r>
        <w:rPr/>
        <w:t xml:space="preserve">§ 6</w:t>
      </w:r>
      <w:r>
        <w:rPr/>
        <w:t xml:space="preserve"> písm. e); výměra tohoto dílu půdního bloku nebo jeho část se nezahrne do zjištěné plochy.</w:t>
      </w:r>
    </w:p>
    <w:p>
      <w:pPr>
        <w:pStyle w:val="Heading1"/>
      </w:pPr>
      <w:r>
        <w:rPr>
          <w:b/>
          <w:bCs/>
        </w:rPr>
        <w:t xml:space="preserve">§ 8</w:t>
      </w:r>
      <w:r>
        <w:rPr>
          <w:rStyle w:val="hidden"/>
        </w:rPr>
        <w:t xml:space="preserve"> -</w:t>
      </w:r>
      <w:br/>
      <w:r>
        <w:rPr/>
        <w:t xml:space="preserve">Zaokrouhlování</w:t>
      </w:r>
    </w:p>
    <w:p>
      <w:pPr>
        <w:ind w:left="0" w:right="0"/>
      </w:pPr>
      <w:r>
        <w:rPr/>
        <w:t xml:space="preserve">Fond při výpočtu číselných údajů podle tohoto nařízení použije matematické zaokrouhlování na 2 desetinná místa.</w:t>
      </w:r>
    </w:p>
    <w:p>
      <w:pPr>
        <w:pStyle w:val="Heading1"/>
      </w:pPr>
      <w:r>
        <w:rPr>
          <w:b/>
          <w:bCs/>
        </w:rPr>
        <w:t xml:space="preserve">§ 9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Toto nařízení nabývá účinnosti dnem 1. dubna 2023.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prof. PhDr. </w:t>
      </w:r>
      <w:r>
        <w:rPr>
          <w:b/>
          <w:bCs/>
        </w:rPr>
        <w:t xml:space="preserve">Fiala</w:t>
      </w:r>
      <w:r>
        <w:rPr/>
        <w:t xml:space="preserve">, Ph.D., LL.M.,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zemědělství: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Nekula</w:t>
      </w:r>
      <w:r>
        <w:rPr/>
        <w:t xml:space="preserve"> v. r.</w:t>
      </w:r>
    </w:p>
    <w:p>
      <w:pPr>
        <w:spacing w:after="200"/>
      </w:pPr>
      <w:pPr>
        <w:rPr/>
      </w:pPr>
    </w:p>
    <w:p>
      <w:pPr/>
      <w:r>
        <w:pict>
          <v:shape id="_x0000_s1061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1)</w:t>
      </w:r>
      <w:r>
        <w:rPr/>
        <w:t xml:space="preserve">	</w:t>
      </w:r>
      <w:r>
        <w:rPr>
          <w:sz w:val="19.200000000000003"/>
          <w:szCs w:val="19.200000000000003"/>
        </w:rPr>
        <w:t xml:space="preserve">Nařízení Evropského parlamentu a Rady </w:t>
      </w:r>
      <w:hyperlink r:id="rId17" w:history="1">
        <w:r>
          <w:rPr>
            <w:color w:val="darkblue"/>
            <w:u w:val="single"/>
          </w:rPr>
          <w:t xml:space="preserve">(EU) 2021/2115</w:t>
        </w:r>
      </w:hyperlink>
      <w:r>
        <w:rPr>
          <w:sz w:val="19.200000000000003"/>
          <w:szCs w:val="19.200000000000003"/>
        </w:rPr>
        <w:t xml:space="preserve"> ze dne 2. prosince 2021, kterým se stanoví pravidla podpory pro strategické plány, jež mají být vypracovány členskými státy v rámci společné zemědělské politiky (strategické plány SZP) a financovány Evropským zemědělským záručním fondem (EZZF) a Evropským zemědělským fondem pro rozvoj venkova (EZFRV), a kterým se zrušují nařízení </w:t>
      </w:r>
      <w:hyperlink r:id="rId18" w:history="1">
        <w:r>
          <w:rPr>
            <w:color w:val="darkblue"/>
            <w:u w:val="single"/>
          </w:rPr>
          <w:t xml:space="preserve">(EU) č. 1305/2013</w:t>
        </w:r>
      </w:hyperlink>
      <w:r>
        <w:rPr>
          <w:sz w:val="19.200000000000003"/>
          <w:szCs w:val="19.200000000000003"/>
        </w:rPr>
        <w:t xml:space="preserve"> a </w:t>
      </w:r>
      <w:hyperlink r:id="rId19" w:history="1">
        <w:r>
          <w:rPr>
            <w:color w:val="darkblue"/>
            <w:u w:val="single"/>
          </w:rPr>
          <w:t xml:space="preserve">(EU) č. 1307/2013</w:t>
        </w:r>
      </w:hyperlink>
      <w:r>
        <w:rPr>
          <w:sz w:val="19.200000000000003"/>
          <w:szCs w:val="19.200000000000003"/>
        </w:rPr>
        <w:t xml:space="preserve">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Evropského parlamentu a Rady </w:t>
      </w:r>
      <w:hyperlink r:id="rId20" w:history="1">
        <w:r>
          <w:rPr>
            <w:color w:val="darkblue"/>
            <w:u w:val="single"/>
          </w:rPr>
          <w:t xml:space="preserve">(EU) 2021/2116</w:t>
        </w:r>
      </w:hyperlink>
      <w:r>
        <w:rPr>
          <w:sz w:val="19.200000000000003"/>
          <w:szCs w:val="19.200000000000003"/>
        </w:rPr>
        <w:t xml:space="preserve"> ze dne 2. prosince 2021 o financování, řízení a monitorování společné zemědělské politiky a zrušení nařízení </w:t>
      </w:r>
      <w:hyperlink r:id="rId21" w:history="1">
        <w:r>
          <w:rPr>
            <w:color w:val="darkblue"/>
            <w:u w:val="single"/>
          </w:rPr>
          <w:t xml:space="preserve">(EU) č. 1306/2013</w:t>
        </w:r>
      </w:hyperlink>
      <w:r>
        <w:rPr>
          <w:sz w:val="19.200000000000003"/>
          <w:szCs w:val="19.200000000000003"/>
        </w:rPr>
        <w:t xml:space="preserve">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Prováděcí nařízení Komise </w:t>
      </w:r>
      <w:hyperlink r:id="rId22" w:history="1">
        <w:r>
          <w:rPr>
            <w:color w:val="darkblue"/>
            <w:u w:val="single"/>
          </w:rPr>
          <w:t xml:space="preserve">(EU) 2022/1173</w:t>
        </w:r>
      </w:hyperlink>
      <w:r>
        <w:rPr>
          <w:sz w:val="19.200000000000003"/>
          <w:szCs w:val="19.200000000000003"/>
        </w:rPr>
        <w:t xml:space="preserve"> ze dne 31. května 2022, kterým se stanoví prováděcí pravidla k nařízení Evropského parlamentu a Rady </w:t>
      </w:r>
      <w:hyperlink r:id="rId20" w:history="1">
        <w:r>
          <w:rPr>
            <w:color w:val="darkblue"/>
            <w:u w:val="single"/>
          </w:rPr>
          <w:t xml:space="preserve">(EU) 2021/2116</w:t>
        </w:r>
      </w:hyperlink>
      <w:r>
        <w:rPr>
          <w:sz w:val="19.200000000000003"/>
          <w:szCs w:val="19.200000000000003"/>
        </w:rPr>
        <w:t xml:space="preserve">, pokud jde o integrovaný administrativní a kontrolní systém v oblasti společné zemědělské politiky.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2)</w:t>
      </w:r>
      <w:r>
        <w:rPr/>
        <w:t xml:space="preserve">	</w:t>
      </w:r>
      <w:r>
        <w:rPr>
          <w:sz w:val="19.200000000000003"/>
          <w:szCs w:val="19.200000000000003"/>
        </w:rPr>
        <w:t xml:space="preserve">Čl. 72 odst. 3 písm. a) nařízení Evropského parlamentu a Rady </w:t>
      </w:r>
      <w:hyperlink r:id="rId17" w:history="1">
        <w:r>
          <w:rPr>
            <w:color w:val="darkblue"/>
            <w:u w:val="single"/>
          </w:rPr>
          <w:t xml:space="preserve">(EU) 2021/2115</w:t>
        </w:r>
      </w:hyperlink>
      <w:r>
        <w:rPr>
          <w:sz w:val="19.200000000000003"/>
          <w:szCs w:val="19.200000000000003"/>
        </w:rPr>
        <w:t xml:space="preserve">.</w:t>
      </w:r>
    </w:p>
    <w:p>
      <w:pPr>
        <w:ind w:left="560" w:right="0"/>
      </w:pPr>
      <w:hyperlink r:id="rId23" w:history="1">
        <w:r>
          <w:rPr>
            <w:color w:val="darkblue"/>
            <w:u w:val="single"/>
          </w:rPr>
          <w:t xml:space="preserve">§ 45e</w:t>
        </w:r>
      </w:hyperlink>
      <w:r>
        <w:rPr>
          <w:sz w:val="19.200000000000003"/>
          <w:szCs w:val="19.200000000000003"/>
        </w:rPr>
        <w:t xml:space="preserve"> odst. 2 zákona č. </w:t>
      </w:r>
      <w:hyperlink r:id="rId24" w:history="1">
        <w:r>
          <w:rPr>
            <w:color w:val="darkblue"/>
            <w:u w:val="single"/>
          </w:rPr>
          <w:t xml:space="preserve">114/1992 Sb.</w:t>
        </w:r>
      </w:hyperlink>
      <w:r>
        <w:rPr>
          <w:sz w:val="19.200000000000003"/>
          <w:szCs w:val="19.200000000000003"/>
        </w:rPr>
        <w:t xml:space="preserve">, o ochraně přírody a krajiny,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3)</w:t>
      </w:r>
      <w:r>
        <w:rPr/>
        <w:t xml:space="preserve">	</w:t>
      </w:r>
      <w:hyperlink r:id="rId25" w:history="1">
        <w:r>
          <w:rPr>
            <w:color w:val="darkblue"/>
            <w:u w:val="single"/>
          </w:rPr>
          <w:t xml:space="preserve">§ 14</w:t>
        </w:r>
      </w:hyperlink>
      <w:r>
        <w:rPr>
          <w:sz w:val="19.200000000000003"/>
          <w:szCs w:val="19.200000000000003"/>
        </w:rPr>
        <w:t xml:space="preserve"> odst. 2 písm. a) a b) zákona č. </w:t>
      </w:r>
      <w:hyperlink r:id="rId24" w:history="1">
        <w:r>
          <w:rPr>
            <w:color w:val="darkblue"/>
            <w:u w:val="single"/>
          </w:rPr>
          <w:t xml:space="preserve">114/1992 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4)</w:t>
      </w:r>
      <w:r>
        <w:rPr/>
        <w:t xml:space="preserve">	</w:t>
      </w:r>
      <w:r>
        <w:rPr>
          <w:sz w:val="19.200000000000003"/>
          <w:szCs w:val="19.200000000000003"/>
        </w:rPr>
        <w:t xml:space="preserve">Čl. 72 odst. 3 písm. b) nařízení Evropského parlamentu a Rady </w:t>
      </w:r>
      <w:hyperlink r:id="rId17" w:history="1">
        <w:r>
          <w:rPr>
            <w:color w:val="darkblue"/>
            <w:u w:val="single"/>
          </w:rPr>
          <w:t xml:space="preserve">(EU) 2021/2115</w:t>
        </w:r>
      </w:hyperlink>
      <w:r>
        <w:rPr>
          <w:sz w:val="19.200000000000003"/>
          <w:szCs w:val="19.200000000000003"/>
        </w:rPr>
        <w:t xml:space="preserve">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5)</w:t>
      </w:r>
      <w:r>
        <w:rPr/>
        <w:t xml:space="preserve">	</w:t>
      </w:r>
      <w:hyperlink r:id="rId26" w:history="1">
        <w:r>
          <w:rPr>
            <w:color w:val="darkblue"/>
            <w:u w:val="single"/>
          </w:rPr>
          <w:t xml:space="preserve">§ 2</w:t>
        </w:r>
      </w:hyperlink>
      <w:r>
        <w:rPr>
          <w:sz w:val="19.200000000000003"/>
          <w:szCs w:val="19.200000000000003"/>
        </w:rPr>
        <w:t xml:space="preserve"> písm. a) zákona č. </w:t>
      </w:r>
      <w:hyperlink r:id="rId27" w:history="1">
        <w:r>
          <w:rPr>
            <w:color w:val="darkblue"/>
            <w:u w:val="single"/>
          </w:rPr>
          <w:t xml:space="preserve">156/1998 Sb.</w:t>
        </w:r>
      </w:hyperlink>
      <w:r>
        <w:rPr>
          <w:sz w:val="19.200000000000003"/>
          <w:szCs w:val="19.200000000000003"/>
        </w:rPr>
        <w:t xml:space="preserve">, o hnojivech, pomocných půdních látkách, pomocných rostlinných přípravcích a substrátech a o agrochemickém zkoušení zemědělských půd (zákon o hnojivech), ve znění pozdějších předpisů.</w:t>
      </w:r>
    </w:p>
    <w:sectPr>
      <w:headerReference w:type="default" r:id="rId28"/>
      <w:footerReference w:type="default" r:id="rId2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62/2023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1997s252-2022s382#P2C" TargetMode="External"/><Relationship Id="rId8" Type="http://schemas.openxmlformats.org/officeDocument/2006/relationships/hyperlink" Target="https://esipa.cz/sbirka/sbsrv.dll/sb?DR=SB&amp;CP=1997s252" TargetMode="External"/><Relationship Id="rId9" Type="http://schemas.openxmlformats.org/officeDocument/2006/relationships/hyperlink" Target="https://esipa.cz/sbirka/sbsrv.dll/sb?DR=SB&amp;CP=2004s085" TargetMode="External"/><Relationship Id="rId10" Type="http://schemas.openxmlformats.org/officeDocument/2006/relationships/hyperlink" Target="https://esipa.cz/sbirka/sbsrv.dll/sb?DR=SB&amp;CP=2009s291" TargetMode="External"/><Relationship Id="rId11" Type="http://schemas.openxmlformats.org/officeDocument/2006/relationships/hyperlink" Target="https://esipa.cz/sbirka/sbsrv.dll/sb?DR=SB&amp;CP=2014s179" TargetMode="External"/><Relationship Id="rId12" Type="http://schemas.openxmlformats.org/officeDocument/2006/relationships/hyperlink" Target="https://esipa.cz/sbirka/sbsrv.dll/sb?DR=SB&amp;CP=2022s382" TargetMode="External"/><Relationship Id="rId13" Type="http://schemas.openxmlformats.org/officeDocument/2006/relationships/hyperlink" Target="https://esipa.cz/sbirka/sbsrv.dll/sb?DR=AZ&amp;CP=2000s256-2022s382#P1" TargetMode="External"/><Relationship Id="rId14" Type="http://schemas.openxmlformats.org/officeDocument/2006/relationships/hyperlink" Target="https://esipa.cz/sbirka/sbsrv.dll/sb?DR=SB&amp;CP=2000s256" TargetMode="External"/><Relationship Id="rId15" Type="http://schemas.openxmlformats.org/officeDocument/2006/relationships/hyperlink" Target="https://esipa.cz/sbirka/sbsrv.dll/sb?DR=SB&amp;CP=2005s441" TargetMode="External"/><Relationship Id="rId16" Type="http://schemas.openxmlformats.org/officeDocument/2006/relationships/hyperlink" Target="https://esipa.cz/sbirka/sbsrv.dll/sb?DR=AZ&amp;CP=1997s252-2022s382#P3" TargetMode="External"/><Relationship Id="rId17" Type="http://schemas.openxmlformats.org/officeDocument/2006/relationships/hyperlink" Target="https://esipa.cz/sbirka/sbsrv.dll/sb?DR=SB&amp;CP=32021R2115" TargetMode="External"/><Relationship Id="rId18" Type="http://schemas.openxmlformats.org/officeDocument/2006/relationships/hyperlink" Target="https://esipa.cz/sbirka/sbsrv.dll/sb?DR=SB&amp;CP=32013R1305" TargetMode="External"/><Relationship Id="rId19" Type="http://schemas.openxmlformats.org/officeDocument/2006/relationships/hyperlink" Target="https://esipa.cz/sbirka/sbsrv.dll/sb?DR=SB&amp;CP=32013R1307" TargetMode="External"/><Relationship Id="rId20" Type="http://schemas.openxmlformats.org/officeDocument/2006/relationships/hyperlink" Target="https://esipa.cz/sbirka/sbsrv.dll/sb?DR=SB&amp;CP=32021R2116" TargetMode="External"/><Relationship Id="rId21" Type="http://schemas.openxmlformats.org/officeDocument/2006/relationships/hyperlink" Target="https://esipa.cz/sbirka/sbsrv.dll/sb?DR=SB&amp;CP=32013R1306" TargetMode="External"/><Relationship Id="rId22" Type="http://schemas.openxmlformats.org/officeDocument/2006/relationships/hyperlink" Target="https://esipa.cz/sbirka/sbsrv.dll/sb?DR=SB&amp;CP=32022R1173" TargetMode="External"/><Relationship Id="rId23" Type="http://schemas.openxmlformats.org/officeDocument/2006/relationships/hyperlink" Target="https://esipa.cz/sbirka/sbsrv.dll/sb?DR=AZ&amp;CP=1992s114-2021s261#P45E" TargetMode="External"/><Relationship Id="rId24" Type="http://schemas.openxmlformats.org/officeDocument/2006/relationships/hyperlink" Target="https://esipa.cz/sbirka/sbsrv.dll/sb?DR=SB&amp;CP=1992s114" TargetMode="External"/><Relationship Id="rId25" Type="http://schemas.openxmlformats.org/officeDocument/2006/relationships/hyperlink" Target="https://esipa.cz/sbirka/sbsrv.dll/sb?DR=AZ&amp;CP=1992s114-2021s261#P14" TargetMode="External"/><Relationship Id="rId26" Type="http://schemas.openxmlformats.org/officeDocument/2006/relationships/hyperlink" Target="https://esipa.cz/sbirka/sbsrv.dll/sb?DR=AZ&amp;CP=1998s156-2021s299_20220716#P2" TargetMode="External"/><Relationship Id="rId27" Type="http://schemas.openxmlformats.org/officeDocument/2006/relationships/hyperlink" Target="https://esipa.cz/sbirka/sbsrv.dll/sb?DR=SB&amp;CP=1998s156" TargetMode="External"/><Relationship Id="rId28" Type="http://schemas.openxmlformats.org/officeDocument/2006/relationships/header" Target="header1.xml"/><Relationship Id="rId2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62/2023 Sb. - původní znění</dc:title>
  <dc:description>Nařízení vlády o stanovení podmínek provádění opatření Natura 2000 na zemědělské půdě</dc:description>
  <dc:subject/>
  <cp:keywords/>
  <cp:category/>
  <cp:lastModifiedBy/>
  <dcterms:created xsi:type="dcterms:W3CDTF">2023-04-01T00:00:00+02:00</dcterms:created>
  <dcterms:modified xsi:type="dcterms:W3CDTF">2023-03-13T15:35:48+01:00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