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15. února 2023,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kterým se mění zákon č. </w:t>
      </w:r>
      <w:hyperlink r:id="rId7" w:history="1">
        <w:r>
          <w:rPr>
            <w:color w:val="darkblue"/>
            <w:u w:val="single"/>
          </w:rPr>
          <w:t xml:space="preserve">480/2004 Sb.</w:t>
        </w:r>
      </w:hyperlink>
      <w:r>
        <w:rPr>
          <w:b/>
          <w:bCs/>
        </w:rPr>
        <w:t xml:space="preserve">, o některých službách informační společnosti a o změně některých zákonů (zákon o některých službách informační společnosti),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Zákon č. </w:t>
      </w:r>
      <w:hyperlink r:id="rId7" w:history="1">
        <w:r>
          <w:rPr>
            <w:color w:val="darkblue"/>
            <w:u w:val="single"/>
          </w:rPr>
          <w:t xml:space="preserve">480/2004 Sb.</w:t>
        </w:r>
      </w:hyperlink>
      <w:r>
        <w:rPr/>
        <w:t xml:space="preserve">, o některých službách informační společnosti a o změně některých zákonů (zákon o některých službách informační společnosti), ve znění zákona č. </w:t>
      </w:r>
      <w:hyperlink r:id="rId8" w:history="1">
        <w:r>
          <w:rPr>
            <w:color w:val="darkblue"/>
            <w:u w:val="single"/>
          </w:rPr>
          <w:t xml:space="preserve">444/2005 Sb.</w:t>
        </w:r>
      </w:hyperlink>
      <w:r>
        <w:rPr/>
        <w:t xml:space="preserve">, zákona č. </w:t>
      </w:r>
      <w:hyperlink r:id="rId9" w:history="1">
        <w:r>
          <w:rPr>
            <w:color w:val="darkblue"/>
            <w:u w:val="single"/>
          </w:rPr>
          <w:t xml:space="preserve">214/2006 Sb.</w:t>
        </w:r>
      </w:hyperlink>
      <w:r>
        <w:rPr/>
        <w:t xml:space="preserve">, zákona č. </w:t>
      </w:r>
      <w:hyperlink r:id="rId10" w:history="1">
        <w:r>
          <w:rPr>
            <w:color w:val="darkblue"/>
            <w:u w:val="single"/>
          </w:rPr>
          <w:t xml:space="preserve">160/2007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281/2009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375/2011 Sb.</w:t>
        </w:r>
      </w:hyperlink>
      <w:r>
        <w:rPr/>
        <w:t xml:space="preserve">, zákona č. </w:t>
      </w:r>
      <w:hyperlink r:id="rId13" w:history="1">
        <w:r>
          <w:rPr>
            <w:color w:val="darkblue"/>
            <w:u w:val="single"/>
          </w:rPr>
          <w:t xml:space="preserve">468/2011 Sb.</w:t>
        </w:r>
      </w:hyperlink>
      <w:r>
        <w:rPr/>
        <w:t xml:space="preserve">, zákona č. </w:t>
      </w:r>
      <w:hyperlink r:id="rId14" w:history="1">
        <w:r>
          <w:rPr>
            <w:color w:val="darkblue"/>
            <w:u w:val="single"/>
          </w:rPr>
          <w:t xml:space="preserve">89/2012 Sb.</w:t>
        </w:r>
      </w:hyperlink>
      <w:r>
        <w:rPr/>
        <w:t xml:space="preserve">, zákona č. </w:t>
      </w:r>
      <w:hyperlink r:id="rId15" w:history="1">
        <w:r>
          <w:rPr>
            <w:color w:val="darkblue"/>
            <w:u w:val="single"/>
          </w:rPr>
          <w:t xml:space="preserve">183/2017 Sb.</w:t>
        </w:r>
      </w:hyperlink>
      <w:r>
        <w:rPr/>
        <w:t xml:space="preserve">, zákona č. </w:t>
      </w:r>
      <w:hyperlink r:id="rId16" w:history="1">
        <w:r>
          <w:rPr>
            <w:color w:val="darkblue"/>
            <w:u w:val="single"/>
          </w:rPr>
          <w:t xml:space="preserve">110/2019 Sb.</w:t>
        </w:r>
      </w:hyperlink>
      <w:r>
        <w:rPr/>
        <w:t xml:space="preserve"> a zákona č. </w:t>
      </w:r>
      <w:hyperlink r:id="rId17" w:history="1">
        <w:r>
          <w:rPr>
            <w:color w:val="darkblue"/>
            <w:u w:val="single"/>
          </w:rPr>
          <w:t xml:space="preserve">238/2020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se slova „upravuje v souladu s právem Evropských společenství</w:t>
      </w:r>
      <w:hyperlink r:id="rId19" w:history="1">
        <w:r>
          <w:rPr>
            <w:color w:val="darkblue"/>
            <w:u w:val="single"/>
          </w:rPr>
          <w:t xml:space="preserve">1)</w:t>
        </w:r>
      </w:hyperlink>
      <w:r>
        <w:rPr/>
        <w:t xml:space="preserve">“ nahrazují slovy „zapracovává příslušné předpisy Evropské unie</w:t>
      </w:r>
      <w:hyperlink r:id="rId19" w:history="1">
        <w:r>
          <w:rPr>
            <w:color w:val="darkblue"/>
            <w:u w:val="single"/>
          </w:rPr>
          <w:t xml:space="preserve">1)</w:t>
        </w:r>
      </w:hyperlink>
      <w:r>
        <w:rPr/>
        <w:t xml:space="preserve">, zároveň navazuje na přímo použitelný předpis Evropské unie upravující podporu spravedlnosti a transparentnosti pro podnikatelské uživatele online zprostředkovatelských služeb</w:t>
      </w:r>
      <w:r>
        <w:rPr>
          <w:vertAlign w:val="superscript"/>
        </w:rPr>
        <w:t xml:space="preserve">4</w:t>
      </w:r>
      <w:r>
        <w:rPr/>
        <w:t xml:space="preserve">)</w:t>
      </w:r>
      <w:r>
        <w:rPr/>
        <w:t xml:space="preserve"> (dále jen ‚nařízení‘) a upravuje“.</w:t>
      </w:r>
    </w:p>
    <w:p>
      <w:pPr>
        <w:ind w:left="560" w:right="0"/>
      </w:pPr>
      <w:r>
        <w:rPr/>
        <w:t xml:space="preserve">Poznámka pod čarou č. 4 zní:</w:t>
      </w:r>
    </w:p>
    <w:p>
      <w:pPr>
        <w:spacing w:after="200"/>
      </w:pPr>
      <w:pPr>
        <w:rPr/>
      </w:pPr>
    </w:p>
    <w:p>
      <w:pPr/>
      <w:r>
        <w:pict>
          <v:shape id="_x0000_s1014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„4)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Evropského parlamentu a Rady </w:t>
      </w:r>
      <w:hyperlink r:id="rId20" w:history="1">
        <w:r>
          <w:rPr>
            <w:color w:val="darkblue"/>
            <w:u w:val="single"/>
          </w:rPr>
          <w:t xml:space="preserve">(EU) 2019/1150</w:t>
        </w:r>
      </w:hyperlink>
      <w:r>
        <w:rPr>
          <w:sz w:val="19.200000000000003"/>
          <w:szCs w:val="19.200000000000003"/>
        </w:rPr>
        <w:t xml:space="preserve"> ze dne 20. června 2019 o podpoře spravedlnosti a transparentnosti pro podnikatelské uživatele online zprostředkovatelských služeb.“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Poznámka pod čarou č. 3 zní:</w:t>
      </w:r>
    </w:p>
    <w:p>
      <w:pPr>
        <w:spacing w:after="200"/>
      </w:pPr>
      <w:pPr>
        <w:rPr/>
      </w:pPr>
    </w:p>
    <w:p>
      <w:pPr/>
      <w:r>
        <w:pict>
          <v:shape id="_x0000_s1018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„3)</w:t>
      </w:r>
      <w:r>
        <w:rPr/>
        <w:t xml:space="preserve">	</w:t>
      </w:r>
      <w:hyperlink r:id="rId21" w:history="1">
        <w:r>
          <w:rPr>
            <w:color w:val="darkblue"/>
            <w:u w:val="single"/>
          </w:rPr>
          <w:t xml:space="preserve">§ 420</w:t>
        </w:r>
      </w:hyperlink>
      <w:r>
        <w:rPr>
          <w:sz w:val="19.200000000000003"/>
          <w:szCs w:val="19.200000000000003"/>
        </w:rPr>
        <w:t xml:space="preserve"> a </w:t>
      </w:r>
      <w:hyperlink r:id="rId22" w:history="1">
        <w:r>
          <w:rPr>
            <w:color w:val="darkblue"/>
            <w:u w:val="single"/>
          </w:rPr>
          <w:t xml:space="preserve">421</w:t>
        </w:r>
      </w:hyperlink>
      <w:r>
        <w:rPr>
          <w:sz w:val="19.200000000000003"/>
          <w:szCs w:val="19.200000000000003"/>
        </w:rPr>
        <w:t xml:space="preserve"> zákona č. </w:t>
      </w:r>
      <w:hyperlink r:id="rId14" w:history="1">
        <w:r>
          <w:rPr>
            <w:color w:val="darkblue"/>
            <w:u w:val="single"/>
          </w:rPr>
          <w:t xml:space="preserve">89/2012 Sb.</w:t>
        </w:r>
      </w:hyperlink>
      <w:r>
        <w:rPr>
          <w:sz w:val="19.200000000000003"/>
          <w:szCs w:val="19.200000000000003"/>
        </w:rPr>
        <w:t xml:space="preserve">, občanský zákoník, ve znění pozdějších předpisů.“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23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odst. 3 se za slovo „předpisem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“ vkládají slova „nebo přímo použitelným předpisem Evropské unie</w:t>
      </w:r>
      <w:r>
        <w:rPr>
          <w:vertAlign w:val="superscript"/>
        </w:rPr>
        <w:t xml:space="preserve">6</w:t>
      </w:r>
      <w:r>
        <w:rPr/>
        <w:t xml:space="preserve">)</w:t>
      </w:r>
      <w:r>
        <w:rPr/>
        <w:t xml:space="preserve">“.</w:t>
      </w:r>
    </w:p>
    <w:p>
      <w:pPr>
        <w:ind w:left="560" w:right="0"/>
      </w:pPr>
      <w:r>
        <w:rPr/>
        <w:t xml:space="preserve">Poznámky pod čarou č. 5 a 6 znějí:</w:t>
      </w:r>
    </w:p>
    <w:p>
      <w:pPr>
        <w:spacing w:after="200"/>
      </w:pPr>
      <w:pPr>
        <w:rPr/>
      </w:pPr>
    </w:p>
    <w:p>
      <w:pPr/>
      <w:r>
        <w:pict>
          <v:shape id="_x0000_s1023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 </w:t>
      </w:r>
      <w:hyperlink r:id="rId16" w:history="1">
        <w:r>
          <w:rPr>
            <w:color w:val="darkblue"/>
            <w:u w:val="single"/>
          </w:rPr>
          <w:t xml:space="preserve">110/2019 Sb.</w:t>
        </w:r>
      </w:hyperlink>
      <w:r>
        <w:rPr>
          <w:sz w:val="19.200000000000003"/>
          <w:szCs w:val="19.200000000000003"/>
        </w:rPr>
        <w:t xml:space="preserve">, o zpracování osobních údajů.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6)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Evropského parlamentu a Rady </w:t>
      </w:r>
      <w:hyperlink r:id="rId24" w:history="1">
        <w:r>
          <w:rPr>
            <w:color w:val="darkblue"/>
            <w:u w:val="single"/>
          </w:rPr>
          <w:t xml:space="preserve">(EU) 2016/679</w:t>
        </w:r>
      </w:hyperlink>
      <w:r>
        <w:rPr>
          <w:sz w:val="19.200000000000003"/>
          <w:szCs w:val="19.200000000000003"/>
        </w:rPr>
        <w:t xml:space="preserve"> ze dne 27. dubna 2016 o ochraně fyzických osob v souvislosti se zpracováním osobních údajů a o volném pohybu těchto údajů a o zrušení směrnice </w:t>
      </w:r>
      <w:hyperlink r:id="rId25" w:history="1">
        <w:r>
          <w:rPr>
            <w:color w:val="darkblue"/>
            <w:u w:val="single"/>
          </w:rPr>
          <w:t xml:space="preserve">95/46/ES</w:t>
        </w:r>
      </w:hyperlink>
      <w:r>
        <w:rPr>
          <w:sz w:val="19.200000000000003"/>
          <w:szCs w:val="19.200000000000003"/>
        </w:rPr>
        <w:t xml:space="preserve"> (obecné nařízení o ochraně osobních údajů).“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hyperlink r:id="rId26" w:history="1">
        <w:r>
          <w:rPr>
            <w:color w:val="darkblue"/>
            <w:u w:val="single"/>
          </w:rPr>
          <w:t xml:space="preserve">§ 10a</w:t>
        </w:r>
      </w:hyperlink>
      <w:r>
        <w:rPr/>
        <w:t xml:space="preserve"> včetně nadpisu zní:</w:t>
      </w:r>
    </w:p>
    <w:p>
      <w:pPr>
        <w:pStyle w:val="Heading2"/>
      </w:pPr>
      <w:r>
        <w:rPr>
          <w:b/>
          <w:bCs/>
        </w:rPr>
        <w:t xml:space="preserve">„§ 10a</w:t>
      </w:r>
      <w:r>
        <w:rPr>
          <w:rStyle w:val="hidden"/>
        </w:rPr>
        <w:t xml:space="preserve"> -</w:t>
      </w:r>
      <w:br/>
      <w:r>
        <w:rPr/>
        <w:t xml:space="preserve">Dozor nad dodržováním nařízení</w:t>
      </w:r>
    </w:p>
    <w:p>
      <w:pPr>
        <w:ind w:left="560" w:right="0"/>
      </w:pPr>
      <w:r>
        <w:rPr/>
        <w:t xml:space="preserve">Dozor nad dodržováním povinností stanovených v nařízení provádí Český telekomunikační úřad.“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Za </w:t>
      </w:r>
      <w:hyperlink r:id="rId26" w:history="1">
        <w:r>
          <w:rPr>
            <w:color w:val="darkblue"/>
            <w:u w:val="single"/>
          </w:rPr>
          <w:t xml:space="preserve">§ 10a</w:t>
        </w:r>
      </w:hyperlink>
      <w:r>
        <w:rPr/>
        <w:t xml:space="preserve"> se vkládá nový § 10b, který včetně nadpisu zní:</w:t>
      </w:r>
    </w:p>
    <w:p>
      <w:pPr>
        <w:pStyle w:val="Heading2"/>
      </w:pPr>
      <w:r>
        <w:rPr>
          <w:b/>
          <w:bCs/>
        </w:rPr>
        <w:t xml:space="preserve">„§ 10b</w:t>
      </w:r>
      <w:r>
        <w:rPr>
          <w:rStyle w:val="hidden"/>
        </w:rPr>
        <w:t xml:space="preserve"> -</w:t>
      </w:r>
      <w:br/>
      <w:r>
        <w:rPr/>
        <w:t xml:space="preserve">Upozornění na porušení nařízení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Český telekomunikační úřad v případě méně závažného porušení povinnosti stanovené nařízením poskytovatelem online zprostředkovatelských služeb nebo poskytovatelem internetového vyhledávače vždy upozorní tohoto poskytovatele na porušení nařízení a vyzve jej k nápravě ve lhůtě přiměřené charakteru porušené povinnosti, která nesmí být kratší než 15 dnů ode dne doručení upozornění.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Pokud poskytovatel online zprostředkovatelských služeb nebo poskytovatel internetového vyhledávače, který byl upozorněn na porušení nařízení, zjedná ve stanovené lhůtě nápravu, bez zbytečného odkladu tuto skutečnost a způsob zjednání nápravy písemně oznámí Českému telekomunikačnímu úřadu.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Po marném uplynutí lhůty k nápravě podle odstavce 1 zahájí Český telekomunikační úřad řízení o přestupku.“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se vkládá nový odstavec 1,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Fyzická osoba se dopustí přestupku tím, že bez souhlasu adresáta hromadně nebo opakovaně šíří elektronickými prostředky obchodní sdělení.“</w:t>
      </w:r>
    </w:p>
    <w:p>
      <w:pPr>
        <w:ind w:left="560" w:right="0"/>
      </w:pPr>
      <w:r>
        <w:rPr/>
        <w:t xml:space="preserve">Dosavadní odstavce 1 a 2 se označují jako odstavce 2 a 3.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2 úvodní části ustanovení se za slovo „Právnická“ vkládají slova „nebo podnikající fyzická“.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se za odstavec 2 vkládají nové odstavce 3 a 4,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Právnická nebo podnikající fyzická osoba se jako poskytovatel online zprostředkovatelských služeb dopustí přestupku tím, že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nezajistí, aby podmínky splňovaly požadavky stanovené v čl. 3 odst. 1 nařízení,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 rozporu s čl. 3 odst. 2 nařízení neoznámí podnikatelským uživatelům změny svých podmínek na trvalém nosiči nebo provede navržené změny dříve, než uplyne lhůta pro jejich oznámení,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nezajistí jasnou viditelnost identity podnikatelského uživatele poskytujícího zboží a služby prostřednictvím online zprostředkovatelské služby podle čl. 3 odst. 5 nařízení,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omezí, pozastaví nebo ukončí poskytování online zprostředkovatelské služby v rozporu s čl. 4 nařízení,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nestanoví ve svých podmínkách hlavní parametry určující pořadí a důvody relativní důležitosti těchto hlavních parametrů v porovnání s ostatními parametry podle čl. 5 odst. 1 nařízení,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v rozporu s čl. 6 nařízení neuvede ve svých podmínkách popis druhu nabízeného doplňkového zboží a služeb, včetně finančních produktů, nebo popis toho, zda a za jakých okolností může podnikatelský uživatel nabízet prostřednictvím online zprostředkovatelské služby své vlastní doplňkové zboží a služby,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v rozporu s čl. 7 odst. 1 nařízení neuvede ve svých podmínkách popis rozdílného zacházení, které uplatňuje nebo může uplatňovat ve vztahu ke zboží a službám, které spotřebitelům prostřednictvím online zprostředkovatelské služby nabízí buď tento poskytovatel sám nebo jím ovládaní podnikatelští uživatelé anebo jiní podnikatelští uživatelé,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nezajistí, aby podmínky byly v souladu s čl. 8 nařízení,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v rozporu s čl. 9 odst. 1 neuvede ve svých podmínkách popis technického a smluvního přístupu podnikatelských uživatelů k osobním nebo jiným údajům, které podnikatelští uživatelé nebo spotřebitelé poskytují pro účely používání online zprostředkovatelské služby nebo které jsou vytvářeny při poskytování této služby, nebo neuvede, že technický a smluvní přístup neexistuje,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j)</w:t>
      </w:r>
      <w:r>
        <w:rPr/>
        <w:t xml:space="preserve">	</w:t>
      </w:r>
      <w:r>
        <w:rPr/>
        <w:t xml:space="preserve">neplní informační povinnost stanovenou v čl. 9 odst. 2 nařízení,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k)</w:t>
      </w:r>
      <w:r>
        <w:rPr/>
        <w:t xml:space="preserve">	</w:t>
      </w:r>
      <w:r>
        <w:rPr/>
        <w:t xml:space="preserve">v rozporu s čl. 10 nařízení neuvede ve svých podmínkách důvody, na základě kterých lze omezit možnost podnikatelských uživatelů nabízet stejné zboží a služby spotřebitelům za různých podmínek jinými prostředky než prostřednictvím jeho služeb, nebo k nim nezajistí snadný přístup veřejnosti,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l)</w:t>
      </w:r>
      <w:r>
        <w:rPr/>
        <w:t xml:space="preserve">	</w:t>
      </w:r>
      <w:r>
        <w:rPr/>
        <w:t xml:space="preserve">nezřídí interní systém pro vyřizování stížností podnikatelských uživatelů podle čl. 11 odst. 1 nařízení,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m)</w:t>
      </w:r>
      <w:r>
        <w:rPr/>
        <w:t xml:space="preserve">	</w:t>
      </w:r>
      <w:r>
        <w:rPr/>
        <w:t xml:space="preserve">neposoudí nebo nevyřídí stížnost nebo neoznámí výsledek vyřízení stížnosti podle čl. 11 odst. 2 nařízení,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n)</w:t>
      </w:r>
      <w:r>
        <w:rPr/>
        <w:t xml:space="preserve">	</w:t>
      </w:r>
      <w:r>
        <w:rPr/>
        <w:t xml:space="preserve">neuvede ve svých podmínkách veškeré informace o přístupu k jeho internímu systému pro vyřizování stížností nebo o jeho fungování podle čl. 11 odst. 3 nařízení,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o)</w:t>
      </w:r>
      <w:r>
        <w:rPr/>
        <w:t xml:space="preserve">	</w:t>
      </w:r>
      <w:r>
        <w:rPr/>
        <w:t xml:space="preserve">v rozporu s čl. 11 odst. 4 nařízení nesestaví informace o fungování a efektivnosti svého interního systému pro vyřizování stížností, nezajistí k nim snadný přístup veřejnosti, neověří je alespoň jednou ročně nebo je neaktualizuje v případě významné změny,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p)</w:t>
      </w:r>
      <w:r>
        <w:rPr/>
        <w:t xml:space="preserve">	</w:t>
      </w:r>
      <w:r>
        <w:rPr/>
        <w:t xml:space="preserve">neuvede ve svých podmínkách mediátory podle čl. 12 nařízení,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q)</w:t>
      </w:r>
      <w:r>
        <w:rPr/>
        <w:t xml:space="preserve">	</w:t>
      </w:r>
      <w:r>
        <w:rPr/>
        <w:t xml:space="preserve">v rozporu s čl. 12 odst. 6 nařízení nezpřístupní podnikatelskému uživateli informace o fungování a efektivnosti mediace týkající se jeho činnosti.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Právnická nebo podnikající fyzická osoba se jako poskytovatel internetového vyhledávače dopustí přestupku tím, že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 rozporu s čl. 5 odst. 2 nařízení nestanoví hlavní parametry a jejich relativní důležitost, neposkytne ve svém internetovém vyhledávači snadno a veřejně přístupný popis těchto parametrů v jasném a srozumitelném jazyce nebo tento popis průběžně neaktualizuje,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neumožní uživateli firemních internetových stránek seznámit se s obsahem oznámení podle čl. 5 odst. 4 nařízení,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 rozporu s čl. 7 odst. 2 nařízení neuvede popis rozdílného způsobu zacházení, který uplatňuje nebo může uplatňovat ve vztahu ke zboží a službám, které spotřebitelům prostřednictvím internetového vyhledávače nabízí buď tento poskytovatel sám nebo jím ovládaní uživatelé firemních internetových stránek, anebo jiní uživatelé firemních internetových stránek.“</w:t>
      </w:r>
    </w:p>
    <w:p>
      <w:pPr>
        <w:ind w:left="560" w:right="0"/>
      </w:pPr>
      <w:r>
        <w:rPr/>
        <w:t xml:space="preserve">Dosavadní odstavec 3 se označuje jako odstavec 5.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odstavec 5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(5)</w:t>
      </w:r>
      <w:r>
        <w:rPr/>
        <w:t xml:space="preserve"> Za přestupek lze uložit pokutu do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100 000 Kč, jde-li o přestupek podle odstavce 1,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1 000 000 Kč, jde-li o přestupek podle odstavce 2 písm. b), c) nebo d),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10 000 000 Kč, jde-li o přestupek podle odstavce 2 písm. a) nebo odstavce 3 nebo 4.“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27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se doplňuje odstavec 6,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(6)</w:t>
      </w:r>
      <w:r>
        <w:rPr/>
        <w:t xml:space="preserve"> Za přestupek podle odstavce 3 nebo 4 lze spolu s pokutou uložit správní trest zveřejnění rozhodnutí o přestupku.“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12</w:t>
        </w:r>
      </w:hyperlink>
      <w:r>
        <w:rPr/>
        <w:t xml:space="preserve"> odstavec 1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Přestupky podle </w:t>
      </w:r>
      <w:hyperlink r:id="rId29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1 a 2 projednává orgán dozoru a přestupky podle </w:t>
      </w:r>
      <w:hyperlink r:id="rId29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3 a 4 projednává Český telekomunikační úřad.“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28" w:history="1">
        <w:r>
          <w:rPr>
            <w:color w:val="darkblue"/>
            <w:u w:val="single"/>
          </w:rPr>
          <w:t xml:space="preserve">§ 12</w:t>
        </w:r>
      </w:hyperlink>
      <w:r>
        <w:rPr/>
        <w:t xml:space="preserve"> se doplňuje odstavec 3, který 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(3)</w:t>
      </w:r>
      <w:r>
        <w:rPr/>
        <w:t xml:space="preserve"> Pokuty za přestupky podle </w:t>
      </w:r>
      <w:hyperlink r:id="rId29" w:history="1">
        <w:r>
          <w:rPr>
            <w:color w:val="darkblue"/>
            <w:u w:val="single"/>
          </w:rPr>
          <w:t xml:space="preserve">§ 11</w:t>
        </w:r>
      </w:hyperlink>
      <w:r>
        <w:rPr/>
        <w:t xml:space="preserve"> odst. 3 a 4 vymáhá Český telekomunikační úřad.“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Poznámka pod čarou č. 8 se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Poznámka pod čarou č. 10 zní:</w:t>
      </w:r>
    </w:p>
    <w:p>
      <w:pPr>
        <w:spacing w:after="200"/>
      </w:pPr>
      <w:pPr>
        <w:rPr/>
      </w:pPr>
    </w:p>
    <w:p>
      <w:pPr/>
      <w:r>
        <w:pict>
          <v:shape id="_x0000_s1076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„10)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 </w:t>
      </w:r>
      <w:hyperlink r:id="rId30" w:history="1">
        <w:r>
          <w:rPr>
            <w:color w:val="darkblue"/>
            <w:u w:val="single"/>
          </w:rPr>
          <w:t xml:space="preserve">500/2004 Sb.</w:t>
        </w:r>
      </w:hyperlink>
      <w:r>
        <w:rPr>
          <w:sz w:val="19.200000000000003"/>
          <w:szCs w:val="19.200000000000003"/>
        </w:rPr>
        <w:t xml:space="preserve">, správní řád, ve znění pozdějších předpisů.“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Tento zákon nabývá účinnosti patnáctým dnem po 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Pekarová</w:t>
      </w:r>
      <w:r>
        <w:rPr/>
        <w:t xml:space="preserve"> </w:t>
      </w:r>
      <w:r>
        <w:rPr>
          <w:b/>
          <w:bCs/>
        </w:rPr>
        <w:t xml:space="preserve">Adamová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Fiala</w:t>
      </w:r>
      <w:r>
        <w:rPr/>
        <w:t xml:space="preserve"> v. r.</w:t>
      </w:r>
    </w:p>
    <w:sectPr>
      <w:headerReference w:type="default" r:id="rId31"/>
      <w:footerReference w:type="default" r:id="rId3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58/2023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4s480" TargetMode="External"/><Relationship Id="rId8" Type="http://schemas.openxmlformats.org/officeDocument/2006/relationships/hyperlink" Target="https://esipa.cz/sbirka/sbsrv.dll/sb?DR=SB&amp;CP=2005s444" TargetMode="External"/><Relationship Id="rId9" Type="http://schemas.openxmlformats.org/officeDocument/2006/relationships/hyperlink" Target="https://esipa.cz/sbirka/sbsrv.dll/sb?DR=SB&amp;CP=2006s214" TargetMode="External"/><Relationship Id="rId10" Type="http://schemas.openxmlformats.org/officeDocument/2006/relationships/hyperlink" Target="https://esipa.cz/sbirka/sbsrv.dll/sb?DR=SB&amp;CP=2007s160" TargetMode="External"/><Relationship Id="rId11" Type="http://schemas.openxmlformats.org/officeDocument/2006/relationships/hyperlink" Target="https://esipa.cz/sbirka/sbsrv.dll/sb?DR=SB&amp;CP=2009s281" TargetMode="External"/><Relationship Id="rId12" Type="http://schemas.openxmlformats.org/officeDocument/2006/relationships/hyperlink" Target="https://esipa.cz/sbirka/sbsrv.dll/sb?DR=SB&amp;CP=2011s375" TargetMode="External"/><Relationship Id="rId13" Type="http://schemas.openxmlformats.org/officeDocument/2006/relationships/hyperlink" Target="https://esipa.cz/sbirka/sbsrv.dll/sb?DR=SB&amp;CP=2011s468" TargetMode="External"/><Relationship Id="rId14" Type="http://schemas.openxmlformats.org/officeDocument/2006/relationships/hyperlink" Target="https://esipa.cz/sbirka/sbsrv.dll/sb?DR=SB&amp;CP=2012s089" TargetMode="External"/><Relationship Id="rId15" Type="http://schemas.openxmlformats.org/officeDocument/2006/relationships/hyperlink" Target="https://esipa.cz/sbirka/sbsrv.dll/sb?DR=SB&amp;CP=2017s183" TargetMode="External"/><Relationship Id="rId16" Type="http://schemas.openxmlformats.org/officeDocument/2006/relationships/hyperlink" Target="https://esipa.cz/sbirka/sbsrv.dll/sb?DR=SB&amp;CP=2019s110" TargetMode="External"/><Relationship Id="rId17" Type="http://schemas.openxmlformats.org/officeDocument/2006/relationships/hyperlink" Target="https://esipa.cz/sbirka/sbsrv.dll/sb?DR=SB&amp;CP=2020s238" TargetMode="External"/><Relationship Id="rId18" Type="http://schemas.openxmlformats.org/officeDocument/2006/relationships/hyperlink" Target="https://esipa.cz/sbirka/sbsrv.dll/sb?DR=AZ&amp;CP=2004s480-2020s238#P1" TargetMode="External"/><Relationship Id="rId19" Type="http://schemas.openxmlformats.org/officeDocument/2006/relationships/hyperlink" Target="https://esipa.cz/sbirka/sbsrv.dll/sb?DR=AZ&amp;CP=2004s480-2020s238#note_1" TargetMode="External"/><Relationship Id="rId20" Type="http://schemas.openxmlformats.org/officeDocument/2006/relationships/hyperlink" Target="https://esipa.cz/sbirka/sbsrv.dll/sb?DR=SB&amp;CP=32019R1150" TargetMode="External"/><Relationship Id="rId21" Type="http://schemas.openxmlformats.org/officeDocument/2006/relationships/hyperlink" Target="https://esipa.cz/sbirka/sbsrv.dll/sb?DR=AZ&amp;CP=2012s089-2022s374#P420" TargetMode="External"/><Relationship Id="rId22" Type="http://schemas.openxmlformats.org/officeDocument/2006/relationships/hyperlink" Target="https://esipa.cz/sbirka/sbsrv.dll/sb?DR=AZ&amp;CP=2012s089-2022s374#P421" TargetMode="External"/><Relationship Id="rId23" Type="http://schemas.openxmlformats.org/officeDocument/2006/relationships/hyperlink" Target="https://esipa.cz/sbirka/sbsrv.dll/sb?DR=AZ&amp;CP=2004s480-2020s238#P7" TargetMode="External"/><Relationship Id="rId24" Type="http://schemas.openxmlformats.org/officeDocument/2006/relationships/hyperlink" Target="https://esipa.cz/sbirka/sbsrv.dll/sb?DR=SB&amp;CP=32016R0679" TargetMode="External"/><Relationship Id="rId25" Type="http://schemas.openxmlformats.org/officeDocument/2006/relationships/hyperlink" Target="https://esipa.cz/sbirka/sbsrv.dll/sb?DR=SB&amp;CP=31995L0046" TargetMode="External"/><Relationship Id="rId26" Type="http://schemas.openxmlformats.org/officeDocument/2006/relationships/hyperlink" Target="https://esipa.cz/sbirka/sbsrv.dll/sb?DR=AZ&amp;CP=2004s480-2020s238#P10A" TargetMode="External"/><Relationship Id="rId27" Type="http://schemas.openxmlformats.org/officeDocument/2006/relationships/hyperlink" Target="https://esipa.cz/sbirka/sbsrv.dll/sb?DR=AZ&amp;CP=2004s480-2020s238#P11" TargetMode="External"/><Relationship Id="rId28" Type="http://schemas.openxmlformats.org/officeDocument/2006/relationships/hyperlink" Target="https://esipa.cz/sbirka/sbsrv.dll/sb?DR=AZ&amp;CP=2004s480-2020s238#P12" TargetMode="External"/><Relationship Id="rId29" Type="http://schemas.openxmlformats.org/officeDocument/2006/relationships/hyperlink" Target="https://esipa.cz/sbirka/sbsrv.dll/sb?DR=AZ&amp;CP=2004s480-2023s058#P11" TargetMode="External"/><Relationship Id="rId30" Type="http://schemas.openxmlformats.org/officeDocument/2006/relationships/hyperlink" Target="https://esipa.cz/sbirka/sbsrv.dll/sb?DR=SB&amp;CP=2004s500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58/2023 Sb. - původní znění</dc:title>
  <dc:description>Zákon, kterým se mění zákon č. 480/2004 Sb., o některých službách informační společnosti a o změně některých zákonů (zákon o některých službách informační společnosti), ve znění pozdějších předpisů</dc:description>
  <dc:subject/>
  <cp:keywords/>
  <cp:category/>
  <cp:lastModifiedBy/>
  <dcterms:created xsi:type="dcterms:W3CDTF">2023-03-23T00:00:00+01:00</dcterms:created>
  <dcterms:modified xsi:type="dcterms:W3CDTF">2023-03-07T14:55:32+01:00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