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11. ledna 2023,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300/2013 Sb.</w:t>
        </w:r>
      </w:hyperlink>
      <w:r>
        <w:rPr>
          <w:b/>
          <w:bCs/>
        </w:rPr>
        <w:t xml:space="preserve">, o Vojenské policii a o změně některých zákonů (zákon o Vojenské policii),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Zákon č. </w:t>
      </w:r>
      <w:hyperlink r:id="rId7" w:history="1">
        <w:r>
          <w:rPr>
            <w:color w:val="darkblue"/>
            <w:u w:val="single"/>
          </w:rPr>
          <w:t xml:space="preserve">300/2013 Sb.</w:t>
        </w:r>
      </w:hyperlink>
      <w:r>
        <w:rPr/>
        <w:t xml:space="preserve">, o Vojenské policii a o změně některých zákonů (zákon o Vojenské policii), ve znění zákona č. </w:t>
      </w:r>
      <w:hyperlink r:id="rId8" w:history="1">
        <w:r>
          <w:rPr>
            <w:color w:val="darkblue"/>
            <w:u w:val="single"/>
          </w:rPr>
          <w:t xml:space="preserve">204/2015 Sb.</w:t>
        </w:r>
      </w:hyperlink>
      <w:r>
        <w:rPr/>
        <w:t xml:space="preserve">, zákona č. </w:t>
      </w:r>
      <w:hyperlink r:id="rId9" w:history="1">
        <w:r>
          <w:rPr>
            <w:color w:val="darkblue"/>
            <w:u w:val="single"/>
          </w:rPr>
          <w:t xml:space="preserve">45/2016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47/2016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250/2016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104/2017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111/2019 Sb.</w:t>
        </w:r>
      </w:hyperlink>
      <w:r>
        <w:rPr/>
        <w:t xml:space="preserve"> a zákona č. </w:t>
      </w:r>
      <w:hyperlink r:id="rId15" w:history="1">
        <w:r>
          <w:rPr>
            <w:color w:val="darkblue"/>
            <w:u w:val="single"/>
          </w:rPr>
          <w:t xml:space="preserve">130/2022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hyperlink r:id="rId16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zní:</w:t>
      </w:r>
    </w:p>
    <w:p>
      <w:pPr>
        <w:pStyle w:val="Heading2"/>
      </w:pPr>
      <w:r>
        <w:rPr>
          <w:b/>
          <w:bCs/>
        </w:rPr>
        <w:t xml:space="preserve">„§ 1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Vojenská policie plní úkoly policejní ochrany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Ministerstva obrany (dále jen „ministerstvo“), ozbrojených sil České republiky (dále jen „ozbrojené síly“), vojenských objektů, vojenského materiálu a ostatního majetku státu, s nímž je příslušné hospodařit ministerstvo, pokud tento zákon nestanoví jinak,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ozbrojených sil jiného státu při průjezdu nebo pobytu na území České republiky (dále jen „ozbrojené síly jiného státu“) a jejich materiálu.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Vojenská policie je součástí ministerstva.“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hyperlink r:id="rId17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a </w:t>
      </w:r>
      <w:hyperlink r:id="rId18" w:history="1">
        <w:r>
          <w:rPr>
            <w:color w:val="darkblue"/>
            <w:u w:val="single"/>
          </w:rPr>
          <w:t xml:space="preserve">3</w:t>
        </w:r>
      </w:hyperlink>
      <w:r>
        <w:rPr/>
        <w:t xml:space="preserve"> včetně poznámky pod čarou č. 21 znějí:</w:t>
      </w:r>
    </w:p>
    <w:p>
      <w:pPr>
        <w:pStyle w:val="Heading2"/>
      </w:pPr>
      <w:r>
        <w:rPr>
          <w:b/>
          <w:bCs/>
        </w:rPr>
        <w:t xml:space="preserve">„§ 2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Vojenská policie při plnění úkolů podle </w:t>
      </w:r>
      <w:hyperlink r:id="rId19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působí na území České republiky, na území jiného státu nebo mimo státní území.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Vojenský policista plní úkoly na území jiného státu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za podmínek, v rozsahu a způsobem stanoveným mezinárodní smlouvou, která je součástí právního řádu (dále jen „mezinárodní smlouva“),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 rámci zahraniční operace, které se Česká republika účastní na základě rozhodnutí mezinárodní organizace, jejímž je členem,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na základě rozhodnutí ministra obrany učiněného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na základě žádosti příslušného orgánu jiného státu, nebo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po souhlasu příslušného orgánu jiného státu.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Na území jiného státu může vojenský policista plnit úkoly i mimo organizační strukturu Vojenské policie; tím není dotčeno jeho odborné řízení náčelníkem Vojenské policie.</w:t>
      </w:r>
    </w:p>
    <w:p>
      <w:pPr>
        <w:pStyle w:val="Heading2"/>
      </w:pPr>
      <w:r>
        <w:rPr>
          <w:b/>
          <w:bCs/>
        </w:rPr>
        <w:t xml:space="preserve">§ 3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Vojenská policie působí vůči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vojákům v činné službě, příslušníkům ozbrojených sil jiného státu nebo je doprovázejícímu civilnímu personálu</w:t>
      </w:r>
      <w:r>
        <w:rPr>
          <w:vertAlign w:val="superscript"/>
        </w:rPr>
        <w:t xml:space="preserve">21</w:t>
      </w:r>
      <w:r>
        <w:rPr/>
        <w:t xml:space="preserve">)</w:t>
      </w:r>
      <w:r>
        <w:rPr/>
        <w:t xml:space="preserve"> (dále jen „voják“),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osobám, které se nacházejí v chráněném objektu,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osobám, které jsou podezřelé, že spáchaly nebo páchají trestný čin nebo přestupek v chráněném objektu, trestný čin nebo přestupek spolu s vojákem nebo proti vojenskému objektu, vojenskému materiálu, materiálu ozbrojených sil jiného státu nebo ostatnímu majetku státu, s nímž je příslušné hospodařit ministerstvo.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Chráněným objektem podle odstavce 1 se pro účely tohoto zákona rozumí vojenský objekt nebo prostor, kde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plní své úkoly ozbrojené síly, ozbrojené síly jiného státu, Vojenské zpravodajství nebo Vojenská policie,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se koná vojenské cvičení,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je zajišťována bezpečnost chráněné osoby.</w:t>
      </w:r>
    </w:p>
    <w:p>
      <w:pPr>
        <w:spacing w:after="200"/>
      </w:pPr>
      <w:pPr>
        <w:rPr/>
      </w:pPr>
    </w:p>
    <w:p>
      <w:pPr/>
      <w:r>
        <w:pict>
          <v:shape id="_x0000_s1037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21)</w:t>
      </w:r>
      <w:r>
        <w:rPr/>
        <w:t xml:space="preserve">	</w:t>
      </w:r>
      <w:r>
        <w:rPr>
          <w:sz w:val="19.200000000000003"/>
          <w:szCs w:val="19.200000000000003"/>
        </w:rPr>
        <w:t xml:space="preserve">Čl. I bod 1 písm. b) Dohody mezi smluvními stranami Severoatlantické smlouvy o statutu jejich ozbrojených sil, vyhlášené pod č. </w:t>
      </w:r>
      <w:hyperlink r:id="rId20" w:history="1">
        <w:r>
          <w:rPr>
            <w:color w:val="darkblue"/>
            <w:u w:val="single"/>
          </w:rPr>
          <w:t xml:space="preserve">1/2002 Sb.m.s.</w:t>
        </w:r>
      </w:hyperlink>
      <w:r>
        <w:rPr>
          <w:sz w:val="19.200000000000003"/>
          <w:szCs w:val="19.200000000000003"/>
        </w:rPr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písmena c) a d) včetně poznámky pod čarou č. 22 znějí: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„c)</w:t>
      </w:r>
      <w:r>
        <w:rPr/>
        <w:t xml:space="preserve">	</w:t>
      </w:r>
      <w:r>
        <w:rPr/>
        <w:t xml:space="preserve">pátrá po hledaných nebo pohřešovaných vojácích nebo po ztraceném nebo odcizeném vojenském materiálu nebo materiálu ozbrojených sil jiného státu, nebo po ostatním majetku státu, s nímž je příslušné hospodařit ministerstvo,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podílí se na ochraně vojenského materiálu, materiálu ozbrojených sil jiného státu a ostatního majetku státu, s nímž je příslušné hospodařit ministerstvo; na základě žádosti příslušného orgánu a rozhodnutí ministra obrany se podílí také na ochraně jiného materiálu, je-li to potřebné při postupu podle zákonů o zahraniční rozvojové spolupráci a humanitární pomoci poskytované do zahraničí, o krizovém řízení nebo o integrovaném záchranném systému</w:t>
      </w:r>
      <w:r>
        <w:rPr>
          <w:vertAlign w:val="superscript"/>
        </w:rPr>
        <w:t xml:space="preserve">22</w:t>
      </w:r>
      <w:r>
        <w:rPr/>
        <w:t xml:space="preserve">)</w:t>
      </w:r>
      <w:r>
        <w:rPr/>
        <w:t xml:space="preserve">,</w:t>
      </w:r>
    </w:p>
    <w:p>
      <w:pPr>
        <w:spacing w:after="200"/>
      </w:pPr>
      <w:pPr>
        <w:rPr/>
      </w:pPr>
    </w:p>
    <w:p>
      <w:pPr/>
      <w:r>
        <w:pict>
          <v:shape id="_x0000_s1043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22)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 </w:t>
      </w:r>
      <w:hyperlink r:id="rId22" w:history="1">
        <w:r>
          <w:rPr>
            <w:color w:val="darkblue"/>
            <w:u w:val="single"/>
          </w:rPr>
          <w:t xml:space="preserve">151/2010 Sb.</w:t>
        </w:r>
      </w:hyperlink>
      <w:r>
        <w:rPr>
          <w:sz w:val="19.200000000000003"/>
          <w:szCs w:val="19.200000000000003"/>
        </w:rPr>
        <w:t xml:space="preserve">, o zahraniční rozvojové spolupráci a humanitární pomoci poskytované do zahraničí a o změně souvisejících zákonů, ve znění zákona č. </w:t>
      </w:r>
      <w:hyperlink r:id="rId23" w:history="1">
        <w:r>
          <w:rPr>
            <w:color w:val="darkblue"/>
            <w:u w:val="single"/>
          </w:rPr>
          <w:t xml:space="preserve">484/2020 Sb.</w:t>
        </w:r>
      </w:hyperlink>
    </w:p>
    <w:p>
      <w:pPr>
        <w:ind w:left="900" w:right="0"/>
      </w:pPr>
      <w:r>
        <w:rPr>
          <w:sz w:val="19.200000000000003"/>
          <w:szCs w:val="19.200000000000003"/>
        </w:rPr>
        <w:t xml:space="preserve">Zákon č. </w:t>
      </w:r>
      <w:hyperlink r:id="rId24" w:history="1">
        <w:r>
          <w:rPr>
            <w:color w:val="darkblue"/>
            <w:u w:val="single"/>
          </w:rPr>
          <w:t xml:space="preserve">239/2000 Sb.</w:t>
        </w:r>
      </w:hyperlink>
      <w:r>
        <w:rPr>
          <w:sz w:val="19.200000000000003"/>
          <w:szCs w:val="19.200000000000003"/>
        </w:rPr>
        <w:t xml:space="preserve">, o integrovaném záchranném systému a o změně některých zákonů, ve znění pozdějších předpisů.</w:t>
      </w:r>
    </w:p>
    <w:p>
      <w:pPr>
        <w:ind w:left="900" w:right="0"/>
      </w:pPr>
      <w:r>
        <w:rPr>
          <w:sz w:val="19.200000000000003"/>
          <w:szCs w:val="19.200000000000003"/>
        </w:rPr>
        <w:t xml:space="preserve">Zákon č. </w:t>
      </w:r>
      <w:hyperlink r:id="rId25" w:history="1">
        <w:r>
          <w:rPr>
            <w:color w:val="darkblue"/>
            <w:u w:val="single"/>
          </w:rPr>
          <w:t xml:space="preserve">240/2000 Sb.</w:t>
        </w:r>
      </w:hyperlink>
      <w:r>
        <w:rPr>
          <w:sz w:val="19.200000000000003"/>
          <w:szCs w:val="19.200000000000003"/>
        </w:rPr>
        <w:t xml:space="preserve">, o krizovém řízení a o změně některých zákonů (krizový zákon), ve znění pozdějších předpisů.“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písm. g) se za slova „ozbrojených sil“ vkládají slova „ , vozidel ozbrojených sil jiného státu“.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písmeno h)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„h)</w:t>
      </w:r>
      <w:r>
        <w:rPr/>
        <w:t xml:space="preserve">	</w:t>
      </w:r>
      <w:r>
        <w:rPr/>
        <w:t xml:space="preserve">řídí provoz vozidel na pozemních komunikacích v souvislosti s provozem vozidel ozbrojených sil nebo vozidel ozbrojených sil jiného státu na pozemních komunikacích po území České republiky a zajišťuje ochranu a doprovod přesunů ozbrojených sil jiného státu po území České republiky,“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písm. l) se slova „ozbrojených sil České republiky“ nahrazují slovy „Vojenské policie“.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2 se slova „ , která je součástí právního řádu (dále jen ‚mezinárodní smlouva‘)“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odstavce 1 a 2 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Vojenská policie vykonává dohled nad bezpečností a plynulostí provozu vozidel ozbrojených sil nebo vozidel ozbrojených sil jiného státu tím, že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kontroluje dodržování pravidel provozu na pozemních komunikacích řidiči těchto vozidel,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objasňuje dopravní nehody a jiné události v provozu, na kterých měla účast pouze tato vozidla, při nichž nevznikla škoda na majetku nebo zdraví třetí osoby.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Při dohledu nad bezpečností a plynulostí provozu vozidel ozbrojených sil nebo vozidel ozbrojených sil jiného státu je vojenský policista oprávněn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vyzvat osobu provádějící výcvik řidičů vozidel ozbrojených sil nebo vozidel ozbrojených sil jiného státu a řidiče vozidla ozbrojených sil nebo vozidla ozbrojených sil jiného státu, aby se podrobili vyšetření podle zákona o silničním provozu ke zjištění, zda nejsou ovlivněni alkoholem nebo jinou návykovou látkou,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vyzvat řidiče vozidla ozbrojených sil nebo vozidla ozbrojených sil jiného státu, aby prokázal svou totožnost a předložil ke kontrole doklady opravňující jej k řízení a provozu vozidla,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vyzvat řidiče vozidla ozbrojených sil nebo vozidla ozbrojených sil jiného státu k podrobení vozidla nebo jízdní soupravy kontrole technického stavu, rozměrů a hmotnosti,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měřit rychlost vozidel ozbrojených sil nebo vozidel ozbrojených sil jiného státu,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zabránit řidiči vozidla ozbrojených sil nebo vozidla ozbrojených sil jiného státu v jízdě použitím technického prostředku k zabránění odjezdu vozidla nebo odtažením vozidla za podmínek stanovených zákonem o silničním provozu.“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35</w:t>
        </w:r>
      </w:hyperlink>
      <w:r>
        <w:rPr/>
        <w:t xml:space="preserve"> odst. 1 se za slova „ozbrojených sil“ vkládají slova „nebo vozidlo ozbrojených sil jiného státu“.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Tento zákon nabývá účinnosti patnáctým dnem následujícím po 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Fiala</w:t>
      </w:r>
      <w:r>
        <w:rPr/>
        <w:t xml:space="preserve"> v. r.</w:t>
      </w:r>
    </w:p>
    <w:sectPr>
      <w:headerReference w:type="default" r:id="rId28"/>
      <w:footerReference w:type="default" r:id="rId2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18/2023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3s300" TargetMode="External"/><Relationship Id="rId8" Type="http://schemas.openxmlformats.org/officeDocument/2006/relationships/hyperlink" Target="https://esipa.cz/sbirka/sbsrv.dll/sb?DR=SB&amp;CP=2015s204" TargetMode="External"/><Relationship Id="rId9" Type="http://schemas.openxmlformats.org/officeDocument/2006/relationships/hyperlink" Target="https://esipa.cz/sbirka/sbsrv.dll/sb?DR=SB&amp;CP=2016s045" TargetMode="External"/><Relationship Id="rId10" Type="http://schemas.openxmlformats.org/officeDocument/2006/relationships/hyperlink" Target="https://esipa.cz/sbirka/sbsrv.dll/sb?DR=SB&amp;CP=2016s047" TargetMode="External"/><Relationship Id="rId11" Type="http://schemas.openxmlformats.org/officeDocument/2006/relationships/hyperlink" Target="https://esipa.cz/sbirka/sbsrv.dll/sb?DR=SB&amp;CP=2016s250" TargetMode="External"/><Relationship Id="rId12" Type="http://schemas.openxmlformats.org/officeDocument/2006/relationships/hyperlink" Target="https://esipa.cz/sbirka/sbsrv.dll/sb?DR=SB&amp;CP=2017s104" TargetMode="External"/><Relationship Id="rId13" Type="http://schemas.openxmlformats.org/officeDocument/2006/relationships/hyperlink" Target="https://esipa.cz/sbirka/sbsrv.dll/sb?DR=SB&amp;CP=2017s183" TargetMode="External"/><Relationship Id="rId14" Type="http://schemas.openxmlformats.org/officeDocument/2006/relationships/hyperlink" Target="https://esipa.cz/sbirka/sbsrv.dll/sb?DR=SB&amp;CP=2019s111" TargetMode="External"/><Relationship Id="rId15" Type="http://schemas.openxmlformats.org/officeDocument/2006/relationships/hyperlink" Target="https://esipa.cz/sbirka/sbsrv.dll/sb?DR=SB&amp;CP=2022s130" TargetMode="External"/><Relationship Id="rId16" Type="http://schemas.openxmlformats.org/officeDocument/2006/relationships/hyperlink" Target="https://esipa.cz/sbirka/sbsrv.dll/sb?DR=AZ&amp;CP=2013s300-2022s130#P1" TargetMode="External"/><Relationship Id="rId17" Type="http://schemas.openxmlformats.org/officeDocument/2006/relationships/hyperlink" Target="https://esipa.cz/sbirka/sbsrv.dll/sb?DR=AZ&amp;CP=2013s300-2022s130#P2" TargetMode="External"/><Relationship Id="rId18" Type="http://schemas.openxmlformats.org/officeDocument/2006/relationships/hyperlink" Target="https://esipa.cz/sbirka/sbsrv.dll/sb?DR=AZ&amp;CP=2013s300-2022s130#P3" TargetMode="External"/><Relationship Id="rId19" Type="http://schemas.openxmlformats.org/officeDocument/2006/relationships/hyperlink" Target="https://esipa.cz/sbirka/sbsrv.dll/sb?DR=AZ&amp;CP=2013s300-2023s018#P1" TargetMode="External"/><Relationship Id="rId20" Type="http://schemas.openxmlformats.org/officeDocument/2006/relationships/hyperlink" Target="https://esipa.cz/sbirka/sbsrv.dll/sb?DR=SB&amp;CP=2002m001" TargetMode="External"/><Relationship Id="rId21" Type="http://schemas.openxmlformats.org/officeDocument/2006/relationships/hyperlink" Target="https://esipa.cz/sbirka/sbsrv.dll/sb?DR=AZ&amp;CP=2013s300-2022s130#P4" TargetMode="External"/><Relationship Id="rId22" Type="http://schemas.openxmlformats.org/officeDocument/2006/relationships/hyperlink" Target="https://esipa.cz/sbirka/sbsrv.dll/sb?DR=SB&amp;CP=2010s151" TargetMode="External"/><Relationship Id="rId23" Type="http://schemas.openxmlformats.org/officeDocument/2006/relationships/hyperlink" Target="https://esipa.cz/sbirka/sbsrv.dll/sb?DR=SB&amp;CP=2020s484" TargetMode="External"/><Relationship Id="rId24" Type="http://schemas.openxmlformats.org/officeDocument/2006/relationships/hyperlink" Target="https://esipa.cz/sbirka/sbsrv.dll/sb?DR=SB&amp;CP=2000s239" TargetMode="External"/><Relationship Id="rId25" Type="http://schemas.openxmlformats.org/officeDocument/2006/relationships/hyperlink" Target="https://esipa.cz/sbirka/sbsrv.dll/sb?DR=SB&amp;CP=2000s240" TargetMode="External"/><Relationship Id="rId26" Type="http://schemas.openxmlformats.org/officeDocument/2006/relationships/hyperlink" Target="https://esipa.cz/sbirka/sbsrv.dll/sb?DR=AZ&amp;CP=2013s300-2022s130#P9" TargetMode="External"/><Relationship Id="rId27" Type="http://schemas.openxmlformats.org/officeDocument/2006/relationships/hyperlink" Target="https://esipa.cz/sbirka/sbsrv.dll/sb?DR=AZ&amp;CP=2013s300-2022s130#P35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18/2023 Sb. - původní znění</dc:title>
  <dc:description>Zákon, kterým se mění zákon č. 300/2013 Sb., o Vojenské policii a o změně některých zákonů (zákon o Vojenské policii), ve znění pozdějších předpisů</dc:description>
  <dc:subject/>
  <cp:keywords/>
  <cp:category/>
  <cp:lastModifiedBy/>
  <dcterms:created xsi:type="dcterms:W3CDTF">2023-02-07T00:00:00+01:00</dcterms:created>
  <dcterms:modified xsi:type="dcterms:W3CDTF">2024-03-19T10:45:06+01:00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