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346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14. listopadu 2022,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357/2013 Sb.</w:t>
        </w:r>
      </w:hyperlink>
      <w:r>
        <w:rPr>
          <w:b/>
          <w:bCs/>
        </w:rPr>
        <w:t xml:space="preserve">, o katastru nemovitostí (katastrální vyhláška), ve znění pozdějších předpisů</w:t>
      </w:r>
    </w:p>
    <w:p/>
    <w:p>
      <w:pPr>
        <w:jc w:val="left"/>
        <w:ind w:left="0" w:right="0"/>
        <w:spacing w:after="0"/>
      </w:pPr>
      <w:r>
        <w:rPr/>
        <w:t xml:space="preserve">Český úřad zeměměřický a katastrální stanoví podle </w:t>
      </w:r>
      <w:hyperlink r:id="rId8" w:history="1">
        <w:r>
          <w:rPr>
            <w:color w:val="darkblue"/>
            <w:u w:val="single"/>
          </w:rPr>
          <w:t xml:space="preserve">§ 66</w:t>
        </w:r>
      </w:hyperlink>
      <w:r>
        <w:rPr/>
        <w:t xml:space="preserve"> odst. 1 písm. a) až c) a e) až i) zákona č. </w:t>
      </w:r>
      <w:hyperlink r:id="rId9" w:history="1">
        <w:r>
          <w:rPr>
            <w:color w:val="darkblue"/>
            <w:u w:val="single"/>
          </w:rPr>
          <w:t xml:space="preserve">256/2013 Sb.</w:t>
        </w:r>
      </w:hyperlink>
      <w:r>
        <w:rPr/>
        <w:t xml:space="preserve">, o katastru nemovitostí (katastrální zákon):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Vyhláška č. </w:t>
      </w:r>
      <w:hyperlink r:id="rId7" w:history="1">
        <w:r>
          <w:rPr>
            <w:color w:val="darkblue"/>
            <w:u w:val="single"/>
          </w:rPr>
          <w:t xml:space="preserve">357/2013 Sb.</w:t>
        </w:r>
      </w:hyperlink>
      <w:r>
        <w:rPr/>
        <w:t xml:space="preserve">, o katastru nemovitostí (katastrální vyhláška), ve znění vyhlášky č. </w:t>
      </w:r>
      <w:hyperlink r:id="rId10" w:history="1">
        <w:r>
          <w:rPr>
            <w:color w:val="darkblue"/>
            <w:u w:val="single"/>
          </w:rPr>
          <w:t xml:space="preserve">87/2017 Sb.</w:t>
        </w:r>
      </w:hyperlink>
      <w:r>
        <w:rPr/>
        <w:t xml:space="preserve"> a vyhlášky č. </w:t>
      </w:r>
      <w:hyperlink r:id="rId11" w:history="1">
        <w:r>
          <w:rPr>
            <w:color w:val="darkblue"/>
            <w:u w:val="single"/>
          </w:rPr>
          <w:t xml:space="preserve">301/2019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12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2 písm. d) se slova „a je součástí pozemku nebo součástí práva stavby“ 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13" w:history="1">
        <w:r>
          <w:rPr>
            <w:color w:val="darkblue"/>
            <w:u w:val="single"/>
          </w:rPr>
          <w:t xml:space="preserve">§ 9</w:t>
        </w:r>
      </w:hyperlink>
      <w:r>
        <w:rPr/>
        <w:t xml:space="preserve"> odst. 1 písm. d) se slova „podle ústavního zákona o vytvoření vyšších územních samosprávných celků,“ nahrazují slovem „a“ a na konci textu písmene se doplňují slova „ ; v případě katastrálního území na území hlavního města Prahy pouze název a číselný kód kraje“.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14" w:history="1">
        <w:r>
          <w:rPr>
            <w:color w:val="darkblue"/>
            <w:u w:val="single"/>
          </w:rPr>
          <w:t xml:space="preserve">§ 14</w:t>
        </w:r>
      </w:hyperlink>
      <w:r>
        <w:rPr/>
        <w:t xml:space="preserve"> se za odstavec 3 vkládají nové odstavce 4 a 5, které znějí: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(4)</w:t>
      </w:r>
      <w:r>
        <w:rPr/>
        <w:t xml:space="preserve"> Náleží-li majetek do podílového fondu, eviduje se označení podílového fondu, identifikační číslo podílového fondu, bylo-li mu přiděleno, a údaje o obhospodařující právnické osobě. Náleží-li majetek do podfondu investičního fondu, eviduje se označení podfondu, identifikační číslo podfondu, bylo-li mu přiděleno, a údaje o investičním fondu, o jehož podfond se jedná.</w:t>
      </w:r>
    </w:p>
    <w:p>
      <w:pPr>
        <w:ind w:left="560" w:right="0"/>
      </w:pPr>
      <w:r>
        <w:rPr>
          <w:b/>
          <w:bCs/>
        </w:rPr>
        <w:t xml:space="preserve">(5)</w:t>
      </w:r>
      <w:r>
        <w:rPr/>
        <w:t xml:space="preserve"> Je-li majetek ve svěřenském fondu, eviduje se název fondu, identifikační číslo svěřenského fondu, bylo-li mu přiděleno, a údaje o svěřenském správci. Obdobné údaje se evidují o zahraničním svěřenském fondu.“</w:t>
      </w:r>
    </w:p>
    <w:p>
      <w:pPr>
        <w:ind w:left="560" w:right="0"/>
      </w:pPr>
      <w:r>
        <w:rPr/>
        <w:t xml:space="preserve">Dosavadní odstavce 4 až 6 se označují jako odstavce 6 až 8.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</w:t>
      </w:r>
      <w:hyperlink r:id="rId14" w:history="1">
        <w:r>
          <w:rPr>
            <w:color w:val="darkblue"/>
            <w:u w:val="single"/>
          </w:rPr>
          <w:t xml:space="preserve">§ 14</w:t>
        </w:r>
      </w:hyperlink>
      <w:r>
        <w:rPr/>
        <w:t xml:space="preserve"> odstavec 6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(6)</w:t>
      </w:r>
      <w:r>
        <w:rPr/>
        <w:t xml:space="preserve"> O zahraniční právnické osobě se eviduje název a adresa sídla; o organizační složce zahraniční právnické osoby zapsané v obchodním rejstříku se eviduje identifikační číslo osoby, její název a adresa jejího sídla.“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V </w:t>
      </w:r>
      <w:hyperlink r:id="rId15" w:history="1">
        <w:r>
          <w:rPr>
            <w:color w:val="darkblue"/>
            <w:u w:val="single"/>
          </w:rPr>
          <w:t xml:space="preserve">§ 15</w:t>
        </w:r>
      </w:hyperlink>
      <w:r>
        <w:rPr/>
        <w:t xml:space="preserve"> odst. 2 se na konci textu písmene g) doplňuje slovo „a“.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V </w:t>
      </w:r>
      <w:hyperlink r:id="rId15" w:history="1">
        <w:r>
          <w:rPr>
            <w:color w:val="darkblue"/>
            <w:u w:val="single"/>
          </w:rPr>
          <w:t xml:space="preserve">§ 15</w:t>
        </w:r>
      </w:hyperlink>
      <w:r>
        <w:rPr/>
        <w:t xml:space="preserve"> odst. 2 se na konci písmene h) slovo „a“ nahrazuje tečkou a písmeno i) se 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V </w:t>
      </w:r>
      <w:hyperlink r:id="rId16" w:history="1">
        <w:r>
          <w:rPr>
            <w:color w:val="darkblue"/>
            <w:u w:val="single"/>
          </w:rPr>
          <w:t xml:space="preserve">§ 15</w:t>
        </w:r>
      </w:hyperlink>
      <w:r>
        <w:rPr/>
        <w:t xml:space="preserve"> odst. 3 se za písmeno b) vkládá nové písmeno c),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„c)</w:t>
      </w:r>
      <w:r>
        <w:rPr/>
        <w:t xml:space="preserve">	</w:t>
      </w:r>
      <w:r>
        <w:rPr/>
        <w:t xml:space="preserve">podlahová plocha bytu nebo nebytového prostoru uvedená v listině, která je podkladem pro zápis jednotky do katastru, pokud je v ní tento údaj obsažen; u souboru bytů a nebytových prostorů se eviduje souhrnná výměra za tento soubor,“</w:t>
      </w:r>
    </w:p>
    <w:p>
      <w:pPr>
        <w:ind w:left="560" w:right="0"/>
      </w:pPr>
      <w:r>
        <w:rPr/>
        <w:t xml:space="preserve">Dosavadní písmena c) až e) se označují jako písmena d) až f).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V </w:t>
      </w:r>
      <w:hyperlink r:id="rId16" w:history="1">
        <w:r>
          <w:rPr>
            <w:color w:val="darkblue"/>
            <w:u w:val="single"/>
          </w:rPr>
          <w:t xml:space="preserve">§ 15</w:t>
        </w:r>
      </w:hyperlink>
      <w:r>
        <w:rPr/>
        <w:t xml:space="preserve"> odst. 4 se za písmeno b) vkládá nové písmeno c),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„c)</w:t>
      </w:r>
      <w:r>
        <w:rPr/>
        <w:t xml:space="preserve">	</w:t>
      </w:r>
      <w:r>
        <w:rPr/>
        <w:t xml:space="preserve">podlahová plocha jednotky uvedená v listině, která je podkladem pro zápis jednotky do katastru, pokud je v ní tento údaj obsažen,“</w:t>
      </w:r>
    </w:p>
    <w:p>
      <w:pPr>
        <w:ind w:left="560" w:right="0"/>
      </w:pPr>
      <w:r>
        <w:rPr/>
        <w:t xml:space="preserve">Dosavadní písmena c) až f) se označují jako písmena d) až g).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V </w:t>
      </w:r>
      <w:hyperlink r:id="rId17" w:history="1">
        <w:r>
          <w:rPr>
            <w:color w:val="darkblue"/>
            <w:u w:val="single"/>
          </w:rPr>
          <w:t xml:space="preserve">§ 18</w:t>
        </w:r>
      </w:hyperlink>
      <w:r>
        <w:rPr/>
        <w:t xml:space="preserve"> odst. 1 úvodní části ustanovení se za slovo „kupce“ vkládají slova „s rozvazovací podmínkou, výhrady práva lepšího kupce s odkládací podmínkou, ujednání o koupi na zkoušku s odkládací podmínkou“.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10.</w:t>
      </w:r>
      <w:r>
        <w:rPr/>
        <w:t xml:space="preserve">	</w:t>
      </w:r>
      <w:r>
        <w:rPr/>
        <w:t xml:space="preserve">V </w:t>
      </w:r>
      <w:hyperlink r:id="rId17" w:history="1">
        <w:r>
          <w:rPr>
            <w:color w:val="darkblue"/>
            <w:u w:val="single"/>
          </w:rPr>
          <w:t xml:space="preserve">§ 18</w:t>
        </w:r>
      </w:hyperlink>
      <w:r>
        <w:rPr/>
        <w:t xml:space="preserve"> odst. 1 se na konci písmene c) slovo „a“ 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11.</w:t>
      </w:r>
      <w:r>
        <w:rPr/>
        <w:t xml:space="preserve">	</w:t>
      </w:r>
      <w:r>
        <w:rPr/>
        <w:t xml:space="preserve">V </w:t>
      </w:r>
      <w:hyperlink r:id="rId17" w:history="1">
        <w:r>
          <w:rPr>
            <w:color w:val="darkblue"/>
            <w:u w:val="single"/>
          </w:rPr>
          <w:t xml:space="preserve">§ 18</w:t>
        </w:r>
      </w:hyperlink>
      <w:r>
        <w:rPr/>
        <w:t xml:space="preserve"> odst. 1 se na konci písmene d) tečka nahrazuje slovem „, a“ a doplňuje se písmeno e),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„e)</w:t>
      </w:r>
      <w:r>
        <w:rPr/>
        <w:t xml:space="preserve">	</w:t>
      </w:r>
      <w:r>
        <w:rPr/>
        <w:t xml:space="preserve">údaj o tom, že předkupní právo nebo výhrada práva zpětné koupě je zcizitelné, pokud bylo jako zcizitelné ujednáno.“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12.</w:t>
      </w:r>
      <w:r>
        <w:rPr/>
        <w:t xml:space="preserve">	</w:t>
      </w:r>
      <w:r>
        <w:rPr/>
        <w:t xml:space="preserve">V </w:t>
      </w:r>
      <w:hyperlink r:id="rId18" w:history="1">
        <w:r>
          <w:rPr>
            <w:color w:val="darkblue"/>
            <w:u w:val="single"/>
          </w:rPr>
          <w:t xml:space="preserve">§ 21</w:t>
        </w:r>
      </w:hyperlink>
      <w:r>
        <w:rPr/>
        <w:t xml:space="preserve"> odst. 1 se za písmeno d) vkládají nová písmena e) až g), která znějí: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„e)</w:t>
      </w:r>
      <w:r>
        <w:rPr/>
        <w:t xml:space="preserve">	</w:t>
      </w:r>
      <w:r>
        <w:rPr/>
        <w:t xml:space="preserve">podané dovolání nebo ústavní stížnost proti rozhodnutí soudu o žalobě proti rozhodnutí o zamítnutí návrhu na vklad,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skutečnost, že jednotka vymezená podle občanského zákoníku je vymezena v souladu s povolením nebo kolaudací podle stavebního zákona,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skutečnost, že probíhá řízení o pozůstalosti,“</w:t>
      </w:r>
    </w:p>
    <w:p>
      <w:pPr>
        <w:ind w:left="560" w:right="0"/>
      </w:pPr>
      <w:r>
        <w:rPr/>
        <w:t xml:space="preserve">Dosavadní písmena e) až l) se označují jako písmena h) až o).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13.</w:t>
      </w:r>
      <w:r>
        <w:rPr/>
        <w:t xml:space="preserve">	</w:t>
      </w:r>
      <w:r>
        <w:rPr/>
        <w:t xml:space="preserve">V </w:t>
      </w:r>
      <w:hyperlink r:id="rId19" w:history="1">
        <w:r>
          <w:rPr>
            <w:color w:val="darkblue"/>
            <w:u w:val="single"/>
          </w:rPr>
          <w:t xml:space="preserve">§ 22</w:t>
        </w:r>
      </w:hyperlink>
      <w:r>
        <w:rPr/>
        <w:t xml:space="preserve"> věta druhá zní: „Při zápisu podle </w:t>
      </w:r>
      <w:hyperlink r:id="rId20" w:history="1">
        <w:r>
          <w:rPr>
            <w:color w:val="darkblue"/>
            <w:u w:val="single"/>
          </w:rPr>
          <w:t xml:space="preserve">§ 14</w:t>
        </w:r>
      </w:hyperlink>
      <w:r>
        <w:rPr/>
        <w:t xml:space="preserve"> až </w:t>
      </w:r>
      <w:hyperlink r:id="rId21" w:history="1">
        <w:r>
          <w:rPr>
            <w:color w:val="darkblue"/>
            <w:u w:val="single"/>
          </w:rPr>
          <w:t xml:space="preserve">18</w:t>
        </w:r>
      </w:hyperlink>
      <w:r>
        <w:rPr/>
        <w:t xml:space="preserve">, </w:t>
      </w:r>
      <w:hyperlink r:id="rId22" w:history="1">
        <w:r>
          <w:rPr>
            <w:color w:val="darkblue"/>
            <w:u w:val="single"/>
          </w:rPr>
          <w:t xml:space="preserve">§ 20</w:t>
        </w:r>
      </w:hyperlink>
      <w:r>
        <w:rPr/>
        <w:t xml:space="preserve"> a </w:t>
      </w:r>
      <w:hyperlink r:id="rId23" w:history="1">
        <w:r>
          <w:rPr>
            <w:color w:val="darkblue"/>
            <w:u w:val="single"/>
          </w:rPr>
          <w:t xml:space="preserve">§ 21</w:t>
        </w:r>
      </w:hyperlink>
      <w:r>
        <w:rPr/>
        <w:t xml:space="preserve"> odst. 1 písm. d) až g), písm. j) až m) a písm. o) se evidují také údaje o listině, která byla podkladem k zápisu; při zápisu na základě údajů převzatých z jiného informačního systému veřejné správy se údaje o listině, která byla podkladem k zápisu, neevidují.“.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14.</w:t>
      </w:r>
      <w:r>
        <w:rPr/>
        <w:t xml:space="preserve">	</w:t>
      </w:r>
      <w:r>
        <w:rPr/>
        <w:t xml:space="preserve">V </w:t>
      </w:r>
      <w:hyperlink r:id="rId24" w:history="1">
        <w:r>
          <w:rPr>
            <w:color w:val="darkblue"/>
            <w:u w:val="single"/>
          </w:rPr>
          <w:t xml:space="preserve">§ 23</w:t>
        </w:r>
      </w:hyperlink>
      <w:r>
        <w:rPr/>
        <w:t xml:space="preserve"> odst. 2 písm. d) se za slovo „poznámek“ vkládají slova „a upozornění“.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15.</w:t>
      </w:r>
      <w:r>
        <w:rPr/>
        <w:t xml:space="preserve">	</w:t>
      </w:r>
      <w:r>
        <w:rPr/>
        <w:t xml:space="preserve">V </w:t>
      </w:r>
      <w:hyperlink r:id="rId24" w:history="1">
        <w:r>
          <w:rPr>
            <w:color w:val="darkblue"/>
            <w:u w:val="single"/>
          </w:rPr>
          <w:t xml:space="preserve">§ 23</w:t>
        </w:r>
      </w:hyperlink>
      <w:r>
        <w:rPr/>
        <w:t xml:space="preserve"> odst. 2 písmeno e)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„e)</w:t>
      </w:r>
      <w:r>
        <w:rPr/>
        <w:t xml:space="preserve">	</w:t>
      </w:r>
      <w:r>
        <w:rPr/>
        <w:t xml:space="preserve">v části D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omezení převodu nemovitostí podle </w:t>
      </w:r>
      <w:hyperlink r:id="rId25" w:history="1">
        <w:r>
          <w:rPr>
            <w:color w:val="darkblue"/>
            <w:u w:val="single"/>
          </w:rPr>
          <w:t xml:space="preserve">§ 58</w:t>
        </w:r>
      </w:hyperlink>
      <w:r>
        <w:rPr/>
        <w:t xml:space="preserve"> zákona č. </w:t>
      </w:r>
      <w:hyperlink r:id="rId26" w:history="1">
        <w:r>
          <w:rPr>
            <w:color w:val="darkblue"/>
            <w:u w:val="single"/>
          </w:rPr>
          <w:t xml:space="preserve">40/1964 Sb.</w:t>
        </w:r>
      </w:hyperlink>
      <w:r>
        <w:rPr/>
        <w:t xml:space="preserve">, občanský zákoník, ve znění účinném do 31. prosince 1991, a další omezení podle dřívějších právních předpisů,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poznámky, které se vážou k osobě uvedené v části A nebo k nemovitosti uvedené v části B s výjimkou poznámek podle písmene d),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údaj o době trvání svěřenského fondu,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plomby,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upozornění s výjimkou upozornění podle písmene d) a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informaci o uložení dohody spoluvlastníků o správě nemovitosti,</w:t>
      </w:r>
    </w:p>
    <w:p>
      <w:pPr>
        <w:ind w:left="900" w:right="0"/>
      </w:pPr>
      <w:r>
        <w:rPr/>
        <w:t xml:space="preserve">včetně označení protokolu a pořadového čísla, pod kterým byl zápis v dané věci proveden, a údaje o listinách, které byly podkladem pro zápis, s výjimkou údajů převzatých z jiných informačních systémů veřejné správy,“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16.</w:t>
      </w:r>
      <w:r>
        <w:rPr/>
        <w:t xml:space="preserve">	</w:t>
      </w:r>
      <w:r>
        <w:rPr/>
        <w:t xml:space="preserve">V </w:t>
      </w:r>
      <w:hyperlink r:id="rId27" w:history="1">
        <w:r>
          <w:rPr>
            <w:color w:val="darkblue"/>
            <w:u w:val="single"/>
          </w:rPr>
          <w:t xml:space="preserve">§ 24</w:t>
        </w:r>
      </w:hyperlink>
      <w:r>
        <w:rPr/>
        <w:t xml:space="preserve"> se za odstavec 2 vkládají nové odstavce 3 až 6, které znějí: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(3)</w:t>
      </w:r>
      <w:r>
        <w:rPr/>
        <w:t xml:space="preserve"> Je-li cenový údaj v listině uveden v cizí měně, vede se v této cizí měně.</w:t>
      </w:r>
    </w:p>
    <w:p>
      <w:pPr>
        <w:ind w:left="560" w:right="0"/>
      </w:pPr>
      <w:r>
        <w:rPr>
          <w:b/>
          <w:bCs/>
        </w:rPr>
        <w:t xml:space="preserve">(4)</w:t>
      </w:r>
      <w:r>
        <w:rPr/>
        <w:t xml:space="preserve"> Cenový údaj se nevede, pokud je v listině vyjádřen jiným způsobem než konkrétní částkou v penězích nebo pokud jsou části kupní ceny uvedeny v různých měnách.</w:t>
      </w:r>
    </w:p>
    <w:p>
      <w:pPr>
        <w:ind w:left="560" w:right="0"/>
      </w:pPr>
      <w:r>
        <w:rPr>
          <w:b/>
          <w:bCs/>
        </w:rPr>
        <w:t xml:space="preserve">(5)</w:t>
      </w:r>
      <w:r>
        <w:rPr/>
        <w:t xml:space="preserve"> Cenový údaj se eviduje ve výši uvedené v listině k okamžiku zahájení vkladového řízení a dodatečně se neaktualizuje.</w:t>
      </w:r>
    </w:p>
    <w:p>
      <w:pPr>
        <w:ind w:left="560" w:right="0"/>
      </w:pPr>
      <w:r>
        <w:rPr>
          <w:b/>
          <w:bCs/>
        </w:rPr>
        <w:t xml:space="preserve">(6)</w:t>
      </w:r>
      <w:r>
        <w:rPr/>
        <w:t xml:space="preserve"> V katastru se cenový údaj vede bez daně z přidané hodnoty, lze-li z obsahu listiny tento údaj jednoduše určit.“</w:t>
      </w:r>
    </w:p>
    <w:p>
      <w:pPr>
        <w:ind w:left="560" w:right="0"/>
      </w:pPr>
      <w:r>
        <w:rPr/>
        <w:t xml:space="preserve">Dosavadní odstavec 3 se označuje jako odstavec 7.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17.</w:t>
      </w:r>
      <w:r>
        <w:rPr/>
        <w:t xml:space="preserve">	</w:t>
      </w:r>
      <w:r>
        <w:rPr/>
        <w:t xml:space="preserve">V </w:t>
      </w:r>
      <w:hyperlink r:id="rId28" w:history="1">
        <w:r>
          <w:rPr>
            <w:color w:val="darkblue"/>
            <w:u w:val="single"/>
          </w:rPr>
          <w:t xml:space="preserve">§ 25</w:t>
        </w:r>
      </w:hyperlink>
      <w:r>
        <w:rPr/>
        <w:t xml:space="preserve"> odst. 2 se slova „identifikací parcel ve formě veřejné listiny, pokud lze takovou identifikaci parcel vyhotovit“ nahrazují slovy „ztotožněním pozemků podle stavu ke dni potvrzení geometrického plánu s pozemky podle stavu ke dni zápisu změny, pokud lze takové ztotožnění provést“.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18.</w:t>
      </w:r>
      <w:r>
        <w:rPr/>
        <w:t xml:space="preserve">	</w:t>
      </w:r>
      <w:r>
        <w:rPr/>
        <w:t xml:space="preserve">V </w:t>
      </w:r>
      <w:hyperlink r:id="rId28" w:history="1">
        <w:r>
          <w:rPr>
            <w:color w:val="darkblue"/>
            <w:u w:val="single"/>
          </w:rPr>
          <w:t xml:space="preserve">§ 25</w:t>
        </w:r>
      </w:hyperlink>
      <w:r>
        <w:rPr/>
        <w:t xml:space="preserve"> odstavec 3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(3)</w:t>
      </w:r>
      <w:r>
        <w:rPr/>
        <w:t xml:space="preserve"> Za nesoulad s údaji katastru se rovněž nepovažuje, jsou-li v listině pozemky označeny parcelními čísly podle stavu ke dni uzavření smlouvy, ke dni vydání rozhodnutí nebo ke dni vyhotovení jiné listiny, pokud jsou v návrhu na zápis pozemky označeny podle stavu katastru ke dni podání návrhu na zápis a pokud lze pozemky uvedené v listině, na jejímž podkladě má být proveden zápis, ztotožnit s pozemky evidovanými v katastru k okamžiku, kdy návrh na zápis došel katastrálnímu úřadu. Obdobně se postupuje i v případě listin určených k zápisu, ke kterým se podle katastrálního zákona a této vyhlášky návrh na zápis nepředkládá.“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19.</w:t>
      </w:r>
      <w:r>
        <w:rPr/>
        <w:t xml:space="preserve">	</w:t>
      </w:r>
      <w:r>
        <w:rPr/>
        <w:t xml:space="preserve">V </w:t>
      </w:r>
      <w:hyperlink r:id="rId29" w:history="1">
        <w:r>
          <w:rPr>
            <w:color w:val="darkblue"/>
            <w:u w:val="single"/>
          </w:rPr>
          <w:t xml:space="preserve">§ 26</w:t>
        </w:r>
      </w:hyperlink>
      <w:r>
        <w:rPr/>
        <w:t xml:space="preserve"> se na konci textu odstavce 2 doplňují slova „ , odmítnuta nebo bylo řízení o žalobě zastaveno. Bylo-li pravomocné rozhodnutí soudu o povolení nebo zamítnutí vkladu pravomocně zrušeno na základě dovolání nebo ústavní stížnosti, vyznačí katastrální úřad plombu nejpozději následující pracovní den poté, co mu bylo pravomocné rozhodnutí o dovolání nebo ústavní stížnosti doručeno“.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20.</w:t>
      </w:r>
      <w:r>
        <w:rPr/>
        <w:t xml:space="preserve">	</w:t>
      </w:r>
      <w:r>
        <w:rPr/>
        <w:t xml:space="preserve">V </w:t>
      </w:r>
      <w:hyperlink r:id="rId30" w:history="1">
        <w:r>
          <w:rPr>
            <w:color w:val="darkblue"/>
            <w:u w:val="single"/>
          </w:rPr>
          <w:t xml:space="preserve">§ 28</w:t>
        </w:r>
      </w:hyperlink>
      <w:r>
        <w:rPr/>
        <w:t xml:space="preserve"> odst. 2 větě první se za slovo „nesprávností“ vkládají slova „ , zda obsah těchto listin odůvodňuje navrhovaný zápis poznámky“ a věta druhá se nahrazuje větami „Je-li návrh na zápis poznámky doložen listinou, která odůvodňuje zápis jiné poznámky, než jaká má být zapsána podle návrhu, vyzve katastrální úřad navrhovatele k odstranění tohoto rozporu; přitom navrhovatele poučí o tom, jaká poznámka a z jakých důvodů může být na základě doložené listiny zapsána. Pokud žadatel neodstraní rozpor ve lhůtě stanovené katastrálním úřadem, katastrální úřad postupuje podle </w:t>
      </w:r>
      <w:hyperlink r:id="rId23" w:history="1">
        <w:r>
          <w:rPr>
            <w:color w:val="darkblue"/>
            <w:u w:val="single"/>
          </w:rPr>
          <w:t xml:space="preserve">§ 21</w:t>
        </w:r>
      </w:hyperlink>
      <w:r>
        <w:rPr/>
        <w:t xml:space="preserve"> odst. 2 části věty za středníkem katastrálního zákona. Pokud v případě poznámky zapisované na základě podané žaloby předloží listinu pro její zápis katastrálnímu úřadu soud, zapíše katastrální úřad takovou poznámku, která odpovídá předložené listině.“.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21.</w:t>
      </w:r>
      <w:r>
        <w:rPr/>
        <w:t xml:space="preserve">	</w:t>
      </w:r>
      <w:r>
        <w:rPr/>
        <w:t xml:space="preserve">V </w:t>
      </w:r>
      <w:hyperlink r:id="rId30" w:history="1">
        <w:r>
          <w:rPr>
            <w:color w:val="darkblue"/>
            <w:u w:val="single"/>
          </w:rPr>
          <w:t xml:space="preserve">§ 28</w:t>
        </w:r>
      </w:hyperlink>
      <w:r>
        <w:rPr/>
        <w:t xml:space="preserve"> se za odstavec 2 vkládají nové odstavce 3 až 6, které znějí: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(3)</w:t>
      </w:r>
      <w:r>
        <w:rPr/>
        <w:t xml:space="preserve"> Při zápisu poznámky na základě soukromé listiny katastrální úřad rovněž zkoumá, zda navrhovaný zápis poznámky navazuje na dosavadní zápisy v katastru a zda byla prokázána pravost podpisu podle části páté.</w:t>
      </w:r>
    </w:p>
    <w:p>
      <w:pPr>
        <w:ind w:left="560" w:right="0"/>
      </w:pPr>
      <w:r>
        <w:rPr>
          <w:b/>
          <w:bCs/>
        </w:rPr>
        <w:t xml:space="preserve">(4)</w:t>
      </w:r>
      <w:r>
        <w:rPr/>
        <w:t xml:space="preserve"> Při zápisu poznámky spornosti zápisu podle </w:t>
      </w:r>
      <w:hyperlink r:id="rId31" w:history="1">
        <w:r>
          <w:rPr>
            <w:color w:val="darkblue"/>
            <w:u w:val="single"/>
          </w:rPr>
          <w:t xml:space="preserve">§ 24</w:t>
        </w:r>
      </w:hyperlink>
      <w:r>
        <w:rPr/>
        <w:t xml:space="preserve"> odst. 1 věty první nebo druhé katastrálního zákona katastrální úřad rovněž zkoumá, zda navrhovaný zápis poznámky navazuje na dosavadní zápisy v katastru, zda o zápis žádá osoba k tomu oprávněná podle </w:t>
      </w:r>
      <w:hyperlink r:id="rId32" w:history="1">
        <w:r>
          <w:rPr>
            <w:color w:val="darkblue"/>
            <w:u w:val="single"/>
          </w:rPr>
          <w:t xml:space="preserve">§ 985</w:t>
        </w:r>
      </w:hyperlink>
      <w:r>
        <w:rPr/>
        <w:t xml:space="preserve"> nebo 986 občanského zákoníku a zda bylo prokázáno podání žaloby v případech, kdy je to podmínkou zápisu poznámky. Při zápisu poznámky spornosti zápisu podle </w:t>
      </w:r>
      <w:hyperlink r:id="rId31" w:history="1">
        <w:r>
          <w:rPr>
            <w:color w:val="darkblue"/>
            <w:u w:val="single"/>
          </w:rPr>
          <w:t xml:space="preserve">§ 24</w:t>
        </w:r>
      </w:hyperlink>
      <w:r>
        <w:rPr/>
        <w:t xml:space="preserve"> odst. 1 věty druhé katastrálního zákona v případě, kdy žádost o zápis poznámky není doložena podanou žalobou, katastrální úřad rovněž zkoumá pravost podpisu žadatele podle části páté. To neplatí, pokud je žádost o zápis poznámky učiněna prostřednictvím datové schránky.</w:t>
      </w:r>
    </w:p>
    <w:p>
      <w:pPr>
        <w:ind w:left="560" w:right="0"/>
      </w:pPr>
      <w:r>
        <w:rPr>
          <w:b/>
          <w:bCs/>
        </w:rPr>
        <w:t xml:space="preserve">(5)</w:t>
      </w:r>
      <w:r>
        <w:rPr/>
        <w:t xml:space="preserve"> Při zápisu poznámek podle </w:t>
      </w:r>
      <w:hyperlink r:id="rId33" w:history="1">
        <w:r>
          <w:rPr>
            <w:color w:val="darkblue"/>
            <w:u w:val="single"/>
          </w:rPr>
          <w:t xml:space="preserve">§ 23</w:t>
        </w:r>
      </w:hyperlink>
      <w:r>
        <w:rPr/>
        <w:t xml:space="preserve"> odst. 1 písm. o) nebo q) katastrálního zákona katastrální úřad rovněž zkoumá, zda navrhovaný zápis poznámky navazuje na dosavadní zápisy v katastru a zda bylo prokázáno podání žaloby.</w:t>
      </w:r>
    </w:p>
    <w:p>
      <w:pPr>
        <w:ind w:left="560" w:right="0"/>
      </w:pPr>
      <w:r>
        <w:rPr>
          <w:b/>
          <w:bCs/>
        </w:rPr>
        <w:t xml:space="preserve">(6)</w:t>
      </w:r>
      <w:r>
        <w:rPr/>
        <w:t xml:space="preserve"> V případě, kdy je podkladem pro zápis poznámky veřejná listina, která nenavazuje na dosavadní zápisy v katastru, katastrální úřad o zápisu poznámky vyrozumí vlastníka nemovitosti.“</w:t>
      </w:r>
    </w:p>
    <w:p>
      <w:pPr>
        <w:ind w:left="560" w:right="0"/>
      </w:pPr>
      <w:r>
        <w:rPr/>
        <w:t xml:space="preserve">Dosavadní odstavce 3 a 4 se označují jako odstavce 7 a 8.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22.</w:t>
      </w:r>
      <w:r>
        <w:rPr/>
        <w:t xml:space="preserve">	</w:t>
      </w:r>
      <w:r>
        <w:rPr/>
        <w:t xml:space="preserve">V </w:t>
      </w:r>
      <w:hyperlink r:id="rId34" w:history="1">
        <w:r>
          <w:rPr>
            <w:color w:val="darkblue"/>
            <w:u w:val="single"/>
          </w:rPr>
          <w:t xml:space="preserve">§ 35</w:t>
        </w:r>
      </w:hyperlink>
      <w:r>
        <w:rPr/>
        <w:t xml:space="preserve"> se na konci odstavce 3 doplňují věty „V potvrzení o zjištění totožnosti ověřovatel uvede druh a číslo průkazu totožnosti, na jehož základě byla totožnost zjištěna. Průkazem totožnosti se pro tyto účely rozumí doklad, který je veřejnou listinou, v němž je uvedeno jméno a příjmení, datum narození nebo rodné číslo, popřípadě místo trvalého pobytu nebo bydliště mimo území České republiky a z něhož je patrná i podoba, popřípadě jiný údaj umožňující identifikovat osobu, která doklad předkládá, jako jeho oprávněného držitele.“.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23.</w:t>
      </w:r>
      <w:r>
        <w:rPr/>
        <w:t xml:space="preserve">	</w:t>
      </w:r>
      <w:r>
        <w:rPr/>
        <w:t xml:space="preserve">V </w:t>
      </w:r>
      <w:hyperlink r:id="rId34" w:history="1">
        <w:r>
          <w:rPr>
            <w:color w:val="darkblue"/>
            <w:u w:val="single"/>
          </w:rPr>
          <w:t xml:space="preserve">§ 35</w:t>
        </w:r>
      </w:hyperlink>
      <w:r>
        <w:rPr/>
        <w:t xml:space="preserve"> odstavec 7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(7)</w:t>
      </w:r>
      <w:r>
        <w:rPr/>
        <w:t xml:space="preserve"> Není přípustné slučovat parcely nebo části parcel, pokud jsou u parcel evidovány různé údaje o právech nebo o upozorněních. Sloučení parcel nebrání, jsou-li u parcel evidovány různé údaje 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věcném břemeni, jehož rozsah byl vymezen v geometrickém plánu; je-li věcné břemeno evidováno k celé parcele, lze tuto parcelu nebo její část sloučit jen při současném vymezení dosavadního rozsahu věcného břemene v geometrickém plánu, pokud to povaha věcného břemene umožňuje,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věcném břemeni, které bylo zřízeno pouze ke stavbě, jež se stala součástí pozemku,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nájmu nebo pachtu,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předkupním právu podle stavebního zákona na části pozemku,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poznámce o výhradě, že upevněný stroj nebo jiné upevněné zařízení není součástí nemovitosti,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poznámce o stavbě, která není součástí pozemku, nebo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upozornění, pokud to nevylučuje povaha skutečnosti, na kterou je upozorňováno.“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24.</w:t>
      </w:r>
      <w:r>
        <w:rPr/>
        <w:t xml:space="preserve">	</w:t>
      </w:r>
      <w:r>
        <w:rPr/>
        <w:t xml:space="preserve">V </w:t>
      </w:r>
      <w:hyperlink r:id="rId34" w:history="1">
        <w:r>
          <w:rPr>
            <w:color w:val="darkblue"/>
            <w:u w:val="single"/>
          </w:rPr>
          <w:t xml:space="preserve">§ 35</w:t>
        </w:r>
      </w:hyperlink>
      <w:r>
        <w:rPr/>
        <w:t xml:space="preserve"> se doplňuje odstavec 8,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(8)</w:t>
      </w:r>
      <w:r>
        <w:rPr/>
        <w:t xml:space="preserve"> Je-li k rozdělení parcely, u které je zapsána poznámka o výhradě, že upevněný stroj nebo jiné upevněné zařízení není součástí nemovitosti, nebo poznámka o stavbě, která není součástí pozemku, doloženo potvrzení dotčených osob s úředně ověřenými podpisy o tom, na které oddělované části původní parcely se nachází objekt, který je důvodem pro zápis poznámky, eviduje se poznámka po rozdělení pouze u této části. Obdobně se postupuje v případě, kdy je propachtována nebo pronajata část pozemku.“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25.</w:t>
      </w:r>
      <w:r>
        <w:rPr/>
        <w:t xml:space="preserve">	</w:t>
      </w:r>
      <w:r>
        <w:rPr/>
        <w:t xml:space="preserve">V </w:t>
      </w:r>
      <w:hyperlink r:id="rId35" w:history="1">
        <w:r>
          <w:rPr>
            <w:color w:val="darkblue"/>
            <w:u w:val="single"/>
          </w:rPr>
          <w:t xml:space="preserve">§ 36</w:t>
        </w:r>
      </w:hyperlink>
      <w:r>
        <w:rPr/>
        <w:t xml:space="preserve"> odstavec 12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(12)</w:t>
      </w:r>
      <w:r>
        <w:rPr/>
        <w:t xml:space="preserve"> Při změně označení parcel parcelními čísly katastrální úřad písemně vyrozumí vlastníky dotčených pozemků a oprávněné z věcných práv k věci cizí, pokud není změna číslování provedena na podkladě jejich jednání nebo v rámci obnovy katastrálního operátu; u bytového spoluvlastnictví katastrální úřad vyrozumí namísto vlastníků dotčených pozemků společenství vlastníků jednotek, pokud je zapsáno ve veřejném rejstříku.“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26.</w:t>
      </w:r>
      <w:r>
        <w:rPr/>
        <w:t xml:space="preserve">	</w:t>
      </w:r>
      <w:r>
        <w:rPr/>
        <w:t xml:space="preserve">Za </w:t>
      </w:r>
      <w:hyperlink r:id="rId36" w:history="1">
        <w:r>
          <w:rPr>
            <w:color w:val="darkblue"/>
            <w:u w:val="single"/>
          </w:rPr>
          <w:t xml:space="preserve">§ 37</w:t>
        </w:r>
      </w:hyperlink>
      <w:r>
        <w:rPr/>
        <w:t xml:space="preserve"> se doplňuje nový § 37a, který zní:</w:t>
      </w:r>
    </w:p>
    <w:p>
      <w:pPr>
        <w:pStyle w:val="Heading2"/>
      </w:pPr>
      <w:r>
        <w:rPr>
          <w:b/>
          <w:bCs/>
        </w:rPr>
        <w:t xml:space="preserve">„§ 37a</w:t>
      </w:r>
      <w:r>
        <w:rPr>
          <w:rStyle w:val="hidden"/>
        </w:rPr>
        <w:t xml:space="preserve"> -</w:t>
      </w:r>
      <w:br/>
      <w:r>
        <w:rPr/>
        <w:t xml:space="preserve">Označování jednotek čísly</w:t>
      </w:r>
    </w:p>
    <w:p>
      <w:pPr>
        <w:ind w:left="560" w:right="0"/>
      </w:pPr>
      <w:r>
        <w:rPr>
          <w:b/>
          <w:bCs/>
        </w:rPr>
        <w:t xml:space="preserve">(1)</w:t>
      </w:r>
      <w:r>
        <w:rPr/>
        <w:t xml:space="preserve"> Nově vymezené jednotky se označují číslem jednotky, které je tvořeno číslem popisným nebo číslem evidenčním budovy, ve které se jednotka nachází, podlomením a nejvýše čtyřmístným vlastním číslem jednotky podle listiny, která byla podkladem k zápisu. Nachází-li se jednotka v budově, které nebylo přiděleno číslo popisné nebo evidenční, označuje se pouze vlastním číslem jednotky.</w:t>
      </w:r>
    </w:p>
    <w:p>
      <w:pPr>
        <w:ind w:left="560" w:right="0"/>
      </w:pPr>
      <w:r>
        <w:rPr>
          <w:b/>
          <w:bCs/>
        </w:rPr>
        <w:t xml:space="preserve">(2)</w:t>
      </w:r>
      <w:r>
        <w:rPr/>
        <w:t xml:space="preserve"> Není-li číslo jednotky v listině, která byla podkladem k zápisu, uvedeno podle odstavce 1, katastrální úřad jednotku pro účely evidence v katastru přečísluje způsobem podle odstavce 1 tak, aby výsledné číslování co nejvíce odpovídalo číslování podle listiny.</w:t>
      </w:r>
    </w:p>
    <w:p>
      <w:pPr>
        <w:ind w:left="560" w:right="0"/>
      </w:pPr>
      <w:r>
        <w:rPr>
          <w:b/>
          <w:bCs/>
        </w:rPr>
        <w:t xml:space="preserve">(3)</w:t>
      </w:r>
      <w:r>
        <w:rPr/>
        <w:t xml:space="preserve"> Dojde-li u budovy, ve které se nachází jednotka, k doplnění nebo změně čísla popisného nebo evidenčního, promítne katastrální úřad tuto skutečnost i do číslování jednotek.“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27.</w:t>
      </w:r>
      <w:r>
        <w:rPr/>
        <w:t xml:space="preserve">	</w:t>
      </w:r>
      <w:r>
        <w:rPr/>
        <w:t xml:space="preserve">V </w:t>
      </w:r>
      <w:hyperlink r:id="rId37" w:history="1">
        <w:r>
          <w:rPr>
            <w:color w:val="darkblue"/>
            <w:u w:val="single"/>
          </w:rPr>
          <w:t xml:space="preserve">§ 39</w:t>
        </w:r>
      </w:hyperlink>
      <w:r>
        <w:rPr/>
        <w:t xml:space="preserve"> se odstavec 1 zrušuje a zároveň se zrušuje označení odstavce 2.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28.</w:t>
      </w:r>
      <w:r>
        <w:rPr/>
        <w:t xml:space="preserve">	</w:t>
      </w:r>
      <w:r>
        <w:rPr/>
        <w:t xml:space="preserve">V </w:t>
      </w:r>
      <w:hyperlink r:id="rId37" w:history="1">
        <w:r>
          <w:rPr>
            <w:color w:val="darkblue"/>
            <w:u w:val="single"/>
          </w:rPr>
          <w:t xml:space="preserve">§ 39</w:t>
        </w:r>
      </w:hyperlink>
      <w:r>
        <w:rPr/>
        <w:t xml:space="preserve"> se na konci písmene d) čárka nahrazuje tečkou a závěrečná část ustanovení se 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29.</w:t>
      </w:r>
      <w:r>
        <w:rPr/>
        <w:t xml:space="preserve">	</w:t>
      </w:r>
      <w:r>
        <w:rPr/>
        <w:t xml:space="preserve">V </w:t>
      </w:r>
      <w:hyperlink r:id="rId38" w:history="1">
        <w:r>
          <w:rPr>
            <w:color w:val="darkblue"/>
            <w:u w:val="single"/>
          </w:rPr>
          <w:t xml:space="preserve">§ 42</w:t>
        </w:r>
      </w:hyperlink>
      <w:r>
        <w:rPr/>
        <w:t xml:space="preserve"> se písmeno a) zrušuje.</w:t>
      </w:r>
    </w:p>
    <w:p>
      <w:pPr>
        <w:ind w:left="560" w:right="0"/>
      </w:pPr>
      <w:r>
        <w:rPr/>
        <w:t xml:space="preserve">Dosavadní písmena b) až d) se označují jako písmena a) až c).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30.</w:t>
      </w:r>
      <w:r>
        <w:rPr/>
        <w:t xml:space="preserve">	</w:t>
      </w:r>
      <w:r>
        <w:rPr/>
        <w:t xml:space="preserve">V </w:t>
      </w:r>
      <w:hyperlink r:id="rId39" w:history="1">
        <w:r>
          <w:rPr>
            <w:color w:val="darkblue"/>
            <w:u w:val="single"/>
          </w:rPr>
          <w:t xml:space="preserve">§ 44</w:t>
        </w:r>
      </w:hyperlink>
      <w:r>
        <w:rPr/>
        <w:t xml:space="preserve"> se na konci odstavce 3 závěrečné části ustanovení doplňují věty „V potvrzení o zjištění totožnosti ověřovatel uvede druh a číslo průkazu totožnosti, na jehož základě byla totožnost zjištěna. Průkazem totožnosti se pro tyto účely rozumí doklad, který je veřejnou listinou, v němž je uvedeno jméno a příjmení, datum narození nebo rodné číslo, popřípadě místo trvalého pobytu nebo bydliště mimo území České republiky a z něhož je patrná i podoba, popřípadě jiný údaj umožňující identifikovat osobu, která doklad předkládá, jako jeho oprávněného držitele.“.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31.</w:t>
      </w:r>
      <w:r>
        <w:rPr/>
        <w:t xml:space="preserve">	</w:t>
      </w:r>
      <w:r>
        <w:rPr/>
        <w:t xml:space="preserve">V </w:t>
      </w:r>
      <w:hyperlink r:id="rId40" w:history="1">
        <w:r>
          <w:rPr>
            <w:color w:val="darkblue"/>
            <w:u w:val="single"/>
          </w:rPr>
          <w:t xml:space="preserve">§ 51</w:t>
        </w:r>
      </w:hyperlink>
      <w:r>
        <w:rPr/>
        <w:t xml:space="preserve"> odst. 2 se slova „náčrtu zjišťování hranic a do soupisu nemovitostí“ nahrazují slovy „protokolu o nesouladu“.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32.</w:t>
      </w:r>
      <w:r>
        <w:rPr/>
        <w:t xml:space="preserve">	</w:t>
      </w:r>
      <w:r>
        <w:rPr/>
        <w:t xml:space="preserve">V </w:t>
      </w:r>
      <w:hyperlink r:id="rId41" w:history="1">
        <w:r>
          <w:rPr>
            <w:color w:val="darkblue"/>
            <w:u w:val="single"/>
          </w:rPr>
          <w:t xml:space="preserve">§ 62</w:t>
        </w:r>
      </w:hyperlink>
      <w:r>
        <w:rPr/>
        <w:t xml:space="preserve"> se doplňuje odstavec 3,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(3)</w:t>
      </w:r>
      <w:r>
        <w:rPr/>
        <w:t xml:space="preserve"> Podle části páté se postupuje obdobně i v ostatních případech, kdy tato vyhláška vyžaduje úřední ověření podpisu.“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33.</w:t>
      </w:r>
      <w:r>
        <w:rPr/>
        <w:t xml:space="preserve">	</w:t>
      </w:r>
      <w:r>
        <w:rPr/>
        <w:t xml:space="preserve">V </w:t>
      </w:r>
      <w:hyperlink r:id="rId42" w:history="1">
        <w:r>
          <w:rPr>
            <w:color w:val="darkblue"/>
            <w:u w:val="single"/>
          </w:rPr>
          <w:t xml:space="preserve">§ 67</w:t>
        </w:r>
      </w:hyperlink>
      <w:r>
        <w:rPr/>
        <w:t xml:space="preserve"> se na konci odstavce 6 doplňuje závěrečná část ustanovení, která zní:</w:t>
      </w:r>
    </w:p>
    <w:p>
      <w:pPr>
        <w:ind w:left="560" w:right="0"/>
      </w:pPr>
      <w:r>
        <w:rPr/>
        <w:t xml:space="preserve">„Společně s obnovením předchozího zápisu vlastnického nebo jiného věcného práva obnoví katastrální úřad i tomu odpovídající zápisy poznámek.“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34.</w:t>
      </w:r>
      <w:r>
        <w:rPr/>
        <w:t xml:space="preserve">	</w:t>
      </w:r>
      <w:r>
        <w:rPr/>
        <w:t xml:space="preserve">V </w:t>
      </w:r>
      <w:hyperlink r:id="rId42" w:history="1">
        <w:r>
          <w:rPr>
            <w:color w:val="darkblue"/>
            <w:u w:val="single"/>
          </w:rPr>
          <w:t xml:space="preserve">§ 67</w:t>
        </w:r>
      </w:hyperlink>
      <w:r>
        <w:rPr/>
        <w:t xml:space="preserve"> se doplňují odstavce 7 a 8, které znějí: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(7)</w:t>
      </w:r>
      <w:r>
        <w:rPr/>
        <w:t xml:space="preserve"> Vlastnické právo státu k nemovitosti, na kterou se podle </w:t>
      </w:r>
      <w:hyperlink r:id="rId43" w:history="1">
        <w:r>
          <w:rPr>
            <w:color w:val="darkblue"/>
            <w:u w:val="single"/>
          </w:rPr>
          <w:t xml:space="preserve">§ 65</w:t>
        </w:r>
      </w:hyperlink>
      <w:r>
        <w:rPr/>
        <w:t xml:space="preserve"> odst. 9 katastrálního zákona pohlíží jako na opuštěnou, se zapíše na základě prohlášení Úřadu pro zastupování státu ve věcech majetkových o vzniku práva, pokud obsahuje náležitosti podle </w:t>
      </w:r>
      <w:hyperlink r:id="rId44" w:history="1">
        <w:r>
          <w:rPr>
            <w:color w:val="darkblue"/>
            <w:u w:val="single"/>
          </w:rPr>
          <w:t xml:space="preserve">§ 66</w:t>
        </w:r>
      </w:hyperlink>
      <w:r>
        <w:rPr/>
        <w:t xml:space="preserve"> odst. 4 písm. a) a c) až f), známé údaje o osobě, v jejíž prospěch je vlastnické právo v katastru dosud zapsáno, a prohlášení o tom, že postupem podle </w:t>
      </w:r>
      <w:hyperlink r:id="rId43" w:history="1">
        <w:r>
          <w:rPr>
            <w:color w:val="darkblue"/>
            <w:u w:val="single"/>
          </w:rPr>
          <w:t xml:space="preserve">§ 65</w:t>
        </w:r>
      </w:hyperlink>
      <w:r>
        <w:rPr/>
        <w:t xml:space="preserve"> katastrálního zákona se nepodařilo vlastníka nemovitosti zjistit a že marně uplynula lhůta, po jejímž uplynutí se podle jiného právního předpisu má za to, že nemovitost je opuštěná.</w:t>
      </w:r>
    </w:p>
    <w:p>
      <w:pPr>
        <w:ind w:left="560" w:right="0"/>
      </w:pPr>
      <w:r>
        <w:rPr>
          <w:b/>
          <w:bCs/>
        </w:rPr>
        <w:t xml:space="preserve">(8)</w:t>
      </w:r>
      <w:r>
        <w:rPr/>
        <w:t xml:space="preserve"> Vlastnické právo pro lepšího kupce v případě, kdy bylo uplatněno právo dát přednost lepšímu kupci s povahou rozvazovací podmínky, se zapíše na základě kupní smlouvy uzavřené mezi oprávněným z výhrady práva lepšího kupce jako prodávajícím a lepším kupcem jako kupujícím doložené prohlášením oprávněného z výhrady práva lepšího kupce, že vůči povinnému uplatnil právo dát přednost lepšímu kupci, který se přihlásil v určené lhůtě.“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35.</w:t>
      </w:r>
      <w:r>
        <w:rPr/>
        <w:t xml:space="preserve">	</w:t>
      </w:r>
      <w:r>
        <w:rPr/>
        <w:t xml:space="preserve">V </w:t>
      </w:r>
      <w:hyperlink r:id="rId45" w:history="1">
        <w:r>
          <w:rPr>
            <w:color w:val="darkblue"/>
            <w:u w:val="single"/>
          </w:rPr>
          <w:t xml:space="preserve">§ 70</w:t>
        </w:r>
      </w:hyperlink>
      <w:r>
        <w:rPr/>
        <w:t xml:space="preserve"> se na konci textu odstavce 1 doplňují slova „nebo v evidenci obyvatel“.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36.</w:t>
      </w:r>
      <w:r>
        <w:rPr/>
        <w:t xml:space="preserve">	</w:t>
      </w:r>
      <w:r>
        <w:rPr/>
        <w:t xml:space="preserve">V </w:t>
      </w:r>
      <w:hyperlink r:id="rId45" w:history="1">
        <w:r>
          <w:rPr>
            <w:color w:val="darkblue"/>
            <w:u w:val="single"/>
          </w:rPr>
          <w:t xml:space="preserve">§ 70</w:t>
        </w:r>
      </w:hyperlink>
      <w:r>
        <w:rPr/>
        <w:t xml:space="preserve"> se odstavce 4, 5 a 8 zrušují.</w:t>
      </w:r>
    </w:p>
    <w:p>
      <w:pPr>
        <w:ind w:left="560" w:right="0"/>
      </w:pPr>
      <w:r>
        <w:rPr/>
        <w:t xml:space="preserve">Dosavadní odstavce 6, 7 a 9 se označují jako odstavce 4 až 6.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37.</w:t>
      </w:r>
      <w:r>
        <w:rPr/>
        <w:t xml:space="preserve">	</w:t>
      </w:r>
      <w:r>
        <w:rPr/>
        <w:t xml:space="preserve">V </w:t>
      </w:r>
      <w:hyperlink r:id="rId45" w:history="1">
        <w:r>
          <w:rPr>
            <w:color w:val="darkblue"/>
            <w:u w:val="single"/>
          </w:rPr>
          <w:t xml:space="preserve">§ 70</w:t>
        </w:r>
      </w:hyperlink>
      <w:r>
        <w:rPr/>
        <w:t xml:space="preserve"> se doplňují odstavce 7 a 8, které znějí: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(7)</w:t>
      </w:r>
      <w:r>
        <w:rPr/>
        <w:t xml:space="preserve"> Výmaz věcných břemen a dalších věcných práv, která zanikla zpeněžením majetkové podstaty podle insolvenčního zákona, zapíše katastrální úřad na základě potvrzení insolvenčního správce s náležitostmi podle </w:t>
      </w:r>
      <w:hyperlink r:id="rId44" w:history="1">
        <w:r>
          <w:rPr>
            <w:color w:val="darkblue"/>
            <w:u w:val="single"/>
          </w:rPr>
          <w:t xml:space="preserve">§ 66</w:t>
        </w:r>
      </w:hyperlink>
      <w:r>
        <w:rPr/>
        <w:t xml:space="preserve"> odst. 3. Na výmaz věcných práv zaniklých podle zákona o konkursu a vyrovnání se věta první použije přiměřeně.</w:t>
      </w:r>
    </w:p>
    <w:p>
      <w:pPr>
        <w:ind w:left="560" w:right="0"/>
      </w:pPr>
      <w:r>
        <w:rPr>
          <w:b/>
          <w:bCs/>
        </w:rPr>
        <w:t xml:space="preserve">(8)</w:t>
      </w:r>
      <w:r>
        <w:rPr/>
        <w:t xml:space="preserve"> Výmaz předkupních a dalších obdobných věcných práv, jejichž zápis byl do katastru převzat z bývalé pozemkové knihy, zemských desek nebo železniční knihy, která jsou zapsána ve prospěch osoby s údaji neumožňujícími její dostatečnou identifikaci, provede katastrální úřad také na základě prohlášení vlastníka o tom, že předkupní nebo jiné obdobné věcné právo je promlčeno, s náležitostmi obdobnými potvrzení o zániku práva.“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38.</w:t>
      </w:r>
      <w:r>
        <w:rPr/>
        <w:t xml:space="preserve">	</w:t>
      </w:r>
      <w:r>
        <w:rPr/>
        <w:t xml:space="preserve">Za </w:t>
      </w:r>
      <w:hyperlink r:id="rId45" w:history="1">
        <w:r>
          <w:rPr>
            <w:color w:val="darkblue"/>
            <w:u w:val="single"/>
          </w:rPr>
          <w:t xml:space="preserve">§ 70</w:t>
        </w:r>
      </w:hyperlink>
      <w:r>
        <w:rPr/>
        <w:t xml:space="preserve"> se vkládá nový § 70a, který zní:</w:t>
      </w:r>
    </w:p>
    <w:p>
      <w:pPr>
        <w:pStyle w:val="Heading2"/>
      </w:pPr>
      <w:r>
        <w:rPr>
          <w:b/>
          <w:bCs/>
        </w:rPr>
        <w:t xml:space="preserve">„§ 70a</w:t>
      </w:r>
    </w:p>
    <w:p>
      <w:pPr>
        <w:ind w:left="560" w:right="0"/>
      </w:pPr>
      <w:r>
        <w:rPr>
          <w:b/>
          <w:bCs/>
        </w:rPr>
        <w:t xml:space="preserve">(1)</w:t>
      </w:r>
      <w:r>
        <w:rPr/>
        <w:t xml:space="preserve"> Podzástavní právo se zapíše na základě smlouvy, kterou se zřizuje zástavní právo k pohledávce, která je zajištěna zástavním právem zapsaným v katastru. Nejsou-li v této smlouvě obsaženy všechny údaje potřebné pro zápis podzástavního práva, zapíše se podzástavní právo na základě této smlouvy doložené souhlasným prohlášením podzástavního věřitele a podzástavního dlužníka osvědčujícím, že byly splněny podmínky pro vznik podzástavního práva vyplývající z </w:t>
      </w:r>
      <w:hyperlink r:id="rId46" w:history="1">
        <w:r>
          <w:rPr>
            <w:color w:val="darkblue"/>
            <w:u w:val="single"/>
          </w:rPr>
          <w:t xml:space="preserve">§ 1390</w:t>
        </w:r>
      </w:hyperlink>
      <w:r>
        <w:rPr/>
        <w:t xml:space="preserve"> občanského zákoníku, s náležitostmi obdobnými podle </w:t>
      </w:r>
      <w:hyperlink r:id="rId44" w:history="1">
        <w:r>
          <w:rPr>
            <w:color w:val="darkblue"/>
            <w:u w:val="single"/>
          </w:rPr>
          <w:t xml:space="preserve">§ 66</w:t>
        </w:r>
      </w:hyperlink>
      <w:r>
        <w:rPr/>
        <w:t xml:space="preserve"> odst. 2.</w:t>
      </w:r>
    </w:p>
    <w:p>
      <w:pPr>
        <w:ind w:left="560" w:right="0"/>
      </w:pPr>
      <w:r>
        <w:rPr>
          <w:b/>
          <w:bCs/>
        </w:rPr>
        <w:t xml:space="preserve">(2)</w:t>
      </w:r>
      <w:r>
        <w:rPr/>
        <w:t xml:space="preserve"> Podzástavní právo se vymaže spolu s výmazem zástavního práva, kterým je zajištěna pohledávka, jejímž zastavením podzástavní právo vzniklo, i bez návrhu. Zástavní právo, kterým je zajištěna pohledávka, jejímž zastavením vzniklo podzástavní právo zapsané v katastru, lze vymazat na základě soukromé listiny, pouze pokud jsou k jeho výmazu předloženy i listiny umožňující výmaz podzástavního práva.</w:t>
      </w:r>
    </w:p>
    <w:p>
      <w:pPr>
        <w:ind w:left="560" w:right="0"/>
      </w:pPr>
      <w:r>
        <w:rPr>
          <w:b/>
          <w:bCs/>
        </w:rPr>
        <w:t xml:space="preserve">(3)</w:t>
      </w:r>
      <w:r>
        <w:rPr/>
        <w:t xml:space="preserve"> Výmaz podzástavního práva, které zaniklo v důsledku postoupení pohledávky zajištěné zástavním právem zapsaným v katastru podzástavnímu věřiteli, provede katastrální úřad k návrhu zástavního věřitele nebo podzástavního věřitele spolu se zápisem změny v osobě zástavního věřitele nebo i později na základě potvrzení podzástavního věřitele podle </w:t>
      </w:r>
      <w:hyperlink r:id="rId44" w:history="1">
        <w:r>
          <w:rPr>
            <w:color w:val="darkblue"/>
            <w:u w:val="single"/>
          </w:rPr>
          <w:t xml:space="preserve">§ 66</w:t>
        </w:r>
      </w:hyperlink>
      <w:r>
        <w:rPr/>
        <w:t xml:space="preserve"> odst. 1 písm. b).</w:t>
      </w:r>
    </w:p>
    <w:p>
      <w:pPr>
        <w:ind w:left="560" w:right="0"/>
      </w:pPr>
      <w:r>
        <w:rPr>
          <w:b/>
          <w:bCs/>
        </w:rPr>
        <w:t xml:space="preserve">(4)</w:t>
      </w:r>
      <w:r>
        <w:rPr/>
        <w:t xml:space="preserve"> Výmaz zástavního práva provede katastrální úřad také na základě prohlášení vlastníka o tom, že zástavní právo je promlčeno, s náležitostmi obdobnými potvrzení o zániku práva, pokud je zástavním věřitelem právnická osoba a uplynulo 10 let od zániku této osoby po jejím zrušení s likvidací nebo od zániku této osoby po jejím zrušení bez likvidace zrušením konkursu po splnění rozvrhového usnesení nebo zrušením konkursu proto, že majetek je zcela nepostačující. Obdobně se postupuje i u dalších věcných práv k věci cizí.</w:t>
      </w:r>
    </w:p>
    <w:p>
      <w:pPr>
        <w:ind w:left="560" w:right="0"/>
      </w:pPr>
      <w:r>
        <w:rPr>
          <w:b/>
          <w:bCs/>
        </w:rPr>
        <w:t xml:space="preserve">(5)</w:t>
      </w:r>
      <w:r>
        <w:rPr/>
        <w:t xml:space="preserve"> Změna vlastnického práva v důsledku výkonu zástavního práva ponecháním si zástavy zástavním věřitelem za cenu určenou na základě znaleckého posudku nejdříve k okamžiku dospělosti zajištěného dluhu se zapíše na základě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ujednání mezi zástavním věřitelem a zástavcem nebo zástavním dlužníkem, že si zástavní věřitel může zástavu ponechat za cenu určenou znalcem nejdříve k okamžiku dospělosti zajištěného dluhu,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oznámení zástavního věřitele vůči zástavnímu dlužníkovi, že si zástavu ponechává,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potvrzení zástavního věřitele, že oznámení podle písmene b) bylo učiněno po uplynutí lhůty podle </w:t>
      </w:r>
      <w:hyperlink r:id="rId47" w:history="1">
        <w:r>
          <w:rPr>
            <w:color w:val="darkblue"/>
            <w:u w:val="single"/>
          </w:rPr>
          <w:t xml:space="preserve">§ 1364</w:t>
        </w:r>
      </w:hyperlink>
      <w:r>
        <w:rPr/>
        <w:t xml:space="preserve"> občanského zákoníku nebo podle </w:t>
      </w:r>
      <w:hyperlink r:id="rId48" w:history="1">
        <w:r>
          <w:rPr>
            <w:color w:val="darkblue"/>
            <w:u w:val="single"/>
          </w:rPr>
          <w:t xml:space="preserve">§ 123</w:t>
        </w:r>
      </w:hyperlink>
      <w:r>
        <w:rPr/>
        <w:t xml:space="preserve"> zákona o spotřebitelském úvěru a zástavnímu dlužníkovi bylo doručeno, a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znaleckého posudku o určení ceny zástavy.</w:t>
      </w:r>
    </w:p>
    <w:p>
      <w:pPr>
        <w:ind w:left="560" w:right="0"/>
      </w:pPr>
      <w:r>
        <w:rPr>
          <w:b/>
          <w:bCs/>
        </w:rPr>
        <w:t xml:space="preserve">(6)</w:t>
      </w:r>
      <w:r>
        <w:rPr/>
        <w:t xml:space="preserve"> Změna vlastnického práva v důsledku výkonu zástavního práva ponecháním si zástavy zástavním věřitelem za cenu, která není určena na základě znaleckého posudku nebo jiným způsobem zajišťujícím objektivitu jejího určení, se zapíše na základě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ujednání mezi zástavním věřitelem a zástavcem nebo zástavním dlužníkem, že si zástavní věřitel může zástavu ponechat,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oznámení zástavního věřitele vůči zástavnímu dlužníkovi, že si zástavu ponechává,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potvrzení zástavního věřitele, že k ujednání podle písmene a) došlo po splatnosti zajištěného dluhu a že oznámení podle písmene b) bylo učiněno po uplynutí lhůty podle </w:t>
      </w:r>
      <w:hyperlink r:id="rId47" w:history="1">
        <w:r>
          <w:rPr>
            <w:color w:val="darkblue"/>
            <w:u w:val="single"/>
          </w:rPr>
          <w:t xml:space="preserve">§ 1364</w:t>
        </w:r>
      </w:hyperlink>
      <w:r>
        <w:rPr/>
        <w:t xml:space="preserve"> občanského zákoníku a zástavnímu dlužníkovi bylo doručeno, a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dokladů prokazujících, že zástavní dlužník nebyl v okamžiku uzavření dohody podle písmene a) vůči zástavnímu věřiteli v postavení spotřebitele nebo malého nebo středního podnikatele, je-li zástavní věřitel podnikatelem.“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39.</w:t>
      </w:r>
      <w:r>
        <w:rPr/>
        <w:t xml:space="preserve">	</w:t>
      </w:r>
      <w:r>
        <w:rPr/>
        <w:t xml:space="preserve">V </w:t>
      </w:r>
      <w:hyperlink r:id="rId49" w:history="1">
        <w:r>
          <w:rPr>
            <w:color w:val="darkblue"/>
            <w:u w:val="single"/>
          </w:rPr>
          <w:t xml:space="preserve">§ 72</w:t>
        </w:r>
      </w:hyperlink>
      <w:r>
        <w:rPr/>
        <w:t xml:space="preserve"> odst. 3 se písmeno b) zrušuje.</w:t>
      </w:r>
    </w:p>
    <w:p>
      <w:pPr>
        <w:ind w:left="560" w:right="0"/>
      </w:pPr>
      <w:r>
        <w:rPr/>
        <w:t xml:space="preserve">Dosavadní písmena c) a d) se označují jako písmena b) a c).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40.</w:t>
      </w:r>
      <w:r>
        <w:rPr/>
        <w:t xml:space="preserve">	</w:t>
      </w:r>
      <w:r>
        <w:rPr/>
        <w:t xml:space="preserve">V </w:t>
      </w:r>
      <w:hyperlink r:id="rId49" w:history="1">
        <w:r>
          <w:rPr>
            <w:color w:val="darkblue"/>
            <w:u w:val="single"/>
          </w:rPr>
          <w:t xml:space="preserve">§ 72</w:t>
        </w:r>
      </w:hyperlink>
      <w:r>
        <w:rPr/>
        <w:t xml:space="preserve"> se za odstavec 4 vkládá nový odstavec 5,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(5)</w:t>
      </w:r>
      <w:r>
        <w:rPr/>
        <w:t xml:space="preserve"> Změna údaje o vlastníkovi upevněného stroje nebo jiného upevněného zařízení, které není součástí nemovitosti, se zapíše na základě listiny, která prokazuje převod nebo přechod vlastnického práva ke stroji. Nejsou-li v této listině obsaženy všechny údaje potřebné pro zápis změny poznámky, zapíše se změna na základě souhlasného prohlášení dosavadního vlastníka stroje a nového vlastníka stroje s náležitostmi obdobnými podle </w:t>
      </w:r>
      <w:hyperlink r:id="rId44" w:history="1">
        <w:r>
          <w:rPr>
            <w:color w:val="darkblue"/>
            <w:u w:val="single"/>
          </w:rPr>
          <w:t xml:space="preserve">§ 66</w:t>
        </w:r>
      </w:hyperlink>
      <w:r>
        <w:rPr/>
        <w:t xml:space="preserve"> odst. 2.“</w:t>
      </w:r>
    </w:p>
    <w:p>
      <w:pPr>
        <w:ind w:left="560" w:right="0"/>
      </w:pPr>
      <w:r>
        <w:rPr/>
        <w:t xml:space="preserve">Dosavadní odstavec 5 se označuje jako odstavec 6.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41.</w:t>
      </w:r>
      <w:r>
        <w:rPr/>
        <w:t xml:space="preserve">	</w:t>
      </w:r>
      <w:r>
        <w:rPr/>
        <w:t xml:space="preserve">V </w:t>
      </w:r>
      <w:hyperlink r:id="rId50" w:history="1">
        <w:r>
          <w:rPr>
            <w:color w:val="darkblue"/>
            <w:u w:val="single"/>
          </w:rPr>
          <w:t xml:space="preserve">§ 73</w:t>
        </w:r>
      </w:hyperlink>
      <w:r>
        <w:rPr/>
        <w:t xml:space="preserve"> se za odstavec 7 vkládá nový odstavec 8,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(8)</w:t>
      </w:r>
      <w:r>
        <w:rPr/>
        <w:t xml:space="preserve"> Poznámky o nařízení výkonu rozhodnutí a o exekučním příkazu se vymažou rovněž k návrhu vyvlastnitele spolu se zápisem vlastnického práva pro vyvlastnitele nebo i později na základě rozhodnutí o vyvlastnění v případě, že vyvlastnění spočívá v odnětí vlastnického práva k pozemku nebo ke stavbě.“</w:t>
      </w:r>
    </w:p>
    <w:p>
      <w:pPr>
        <w:ind w:left="560" w:right="0"/>
      </w:pPr>
      <w:r>
        <w:rPr/>
        <w:t xml:space="preserve">Dosavadní odstavce 8 až 13 se označují jako odstavce 9 až 14.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42.</w:t>
      </w:r>
      <w:r>
        <w:rPr/>
        <w:t xml:space="preserve">	</w:t>
      </w:r>
      <w:r>
        <w:rPr/>
        <w:t xml:space="preserve">V </w:t>
      </w:r>
      <w:hyperlink r:id="rId51" w:history="1">
        <w:r>
          <w:rPr>
            <w:color w:val="darkblue"/>
            <w:u w:val="single"/>
          </w:rPr>
          <w:t xml:space="preserve">§ 74</w:t>
        </w:r>
      </w:hyperlink>
      <w:r>
        <w:rPr/>
        <w:t xml:space="preserve"> odst. 2 se slova „písm. b), c) a d)“ nahrazují slovy „písm. a) až d)“.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43.</w:t>
      </w:r>
      <w:r>
        <w:rPr/>
        <w:t xml:space="preserve">	</w:t>
      </w:r>
      <w:r>
        <w:rPr/>
        <w:t xml:space="preserve">V </w:t>
      </w:r>
      <w:hyperlink r:id="rId52" w:history="1">
        <w:r>
          <w:rPr>
            <w:color w:val="darkblue"/>
            <w:u w:val="single"/>
          </w:rPr>
          <w:t xml:space="preserve">§ 78</w:t>
        </w:r>
      </w:hyperlink>
      <w:r>
        <w:rPr/>
        <w:t xml:space="preserve"> odst. 1 se slova „ , zejména při sloučení parcel, změně označení parcely parcelním číslem v souvislosti se zrušením údaje o budově na pozemku, u kterého nedochází ke změně hranice, nebo při doplňování pozemků dosud evidovaných zjednodušeným způsobem do mapy vedené na plastové fólii bez jejich vytyčení a zaměření“ nahrazují slovy „a nevyžaduje vyhotovení geometrického plánu“.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44.</w:t>
      </w:r>
      <w:r>
        <w:rPr/>
        <w:t xml:space="preserve">	</w:t>
      </w:r>
      <w:r>
        <w:rPr/>
        <w:t xml:space="preserve">V </w:t>
      </w:r>
      <w:hyperlink r:id="rId53" w:history="1">
        <w:r>
          <w:rPr>
            <w:color w:val="darkblue"/>
            <w:u w:val="single"/>
          </w:rPr>
          <w:t xml:space="preserve">§ 81</w:t>
        </w:r>
      </w:hyperlink>
      <w:r>
        <w:rPr/>
        <w:t xml:space="preserve"> odstavec 8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(8)</w:t>
      </w:r>
      <w:r>
        <w:rPr/>
        <w:t xml:space="preserve"> Poloha lomového bodu změny se určí a ověří pomocí dvou nezávislých měření nebo se jednoznačně určí měřením a ověří oměrnými nebo jinými kontrolními mírami.“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45.</w:t>
      </w:r>
      <w:r>
        <w:rPr/>
        <w:t xml:space="preserve">	</w:t>
      </w:r>
      <w:r>
        <w:rPr/>
        <w:t xml:space="preserve">V </w:t>
      </w:r>
      <w:hyperlink r:id="rId54" w:history="1">
        <w:r>
          <w:rPr>
            <w:color w:val="darkblue"/>
            <w:u w:val="single"/>
          </w:rPr>
          <w:t xml:space="preserve">§ 85</w:t>
        </w:r>
      </w:hyperlink>
      <w:r>
        <w:rPr/>
        <w:t xml:space="preserve"> se na konci odstavce 1 doplňuje věta „Za podání žádosti podle věty první se rovněž považuje, doručí-li ověřovatel geometrický plán za účelem jeho potvrzení katastrálnímu úřadu prostřednictvím k tomu určené webové služby.“.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46.</w:t>
      </w:r>
      <w:r>
        <w:rPr/>
        <w:t xml:space="preserve">	</w:t>
      </w:r>
      <w:r>
        <w:rPr/>
        <w:t xml:space="preserve">V </w:t>
      </w:r>
      <w:hyperlink r:id="rId55" w:history="1">
        <w:r>
          <w:rPr>
            <w:color w:val="darkblue"/>
            <w:u w:val="single"/>
          </w:rPr>
          <w:t xml:space="preserve">§ 89</w:t>
        </w:r>
      </w:hyperlink>
      <w:r>
        <w:rPr/>
        <w:t xml:space="preserve"> se za odstavec 1 vkládá nový odstavec 2,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(2)</w:t>
      </w:r>
      <w:r>
        <w:rPr/>
        <w:t xml:space="preserve"> Přizvání vlastníka k seznámení s průběhem vytyčené hranice pozemků se má za prokázané také v případě, že je z postupu vlastníka zjevné, že mu bylo doručeno.“</w:t>
      </w:r>
    </w:p>
    <w:p>
      <w:pPr>
        <w:ind w:left="560" w:right="0"/>
      </w:pPr>
      <w:r>
        <w:rPr/>
        <w:t xml:space="preserve">Dosavadní odstavec 2 se označuje jako odstavec 3.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47.</w:t>
      </w:r>
      <w:r>
        <w:rPr/>
        <w:t xml:space="preserve">	</w:t>
      </w:r>
      <w:r>
        <w:rPr/>
        <w:t xml:space="preserve">V části desáté se na začátek nadpisu vkládá slovo „</w:t>
      </w:r>
      <w:r>
        <w:rPr>
          <w:b/>
          <w:bCs/>
        </w:rPr>
        <w:t xml:space="preserve">SPOLEČNÁ,</w:t>
      </w:r>
      <w:r>
        <w:rPr/>
        <w:t xml:space="preserve">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48.</w:t>
      </w:r>
      <w:r>
        <w:rPr/>
        <w:t xml:space="preserve">	</w:t>
      </w:r>
      <w:r>
        <w:rPr/>
        <w:t xml:space="preserve">V části desáté se za nadpis části desáté vkládá nový § 92a, který zní:</w:t>
      </w:r>
    </w:p>
    <w:p>
      <w:pPr>
        <w:pStyle w:val="Heading2"/>
      </w:pPr>
      <w:r>
        <w:rPr>
          <w:b/>
          <w:bCs/>
        </w:rPr>
        <w:t xml:space="preserve">„§ 92a</w:t>
      </w:r>
    </w:p>
    <w:p>
      <w:pPr>
        <w:ind w:left="560" w:right="0"/>
      </w:pPr>
      <w:r>
        <w:rPr/>
        <w:t xml:space="preserve">Katastrální úřad přednostně přebírá údaje o nemovitostech a upozorněních ze základního registru územní identifikace, adres a nemovitostí, pokud jsou v něm tyto údaje vedeny jako referenční. Postupy stanovené touto vyhláškou pro zápis údajů o nemovitostech a upozorněních se použijí jen tehdy, nelze-li tyto údaje přebrat podle věty první.“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49.</w:t>
      </w:r>
      <w:r>
        <w:rPr/>
        <w:t xml:space="preserve">	</w:t>
      </w:r>
      <w:r>
        <w:rPr/>
        <w:t xml:space="preserve">V </w:t>
      </w:r>
      <w:hyperlink r:id="rId56" w:history="1">
        <w:r>
          <w:rPr>
            <w:color w:val="darkblue"/>
            <w:u w:val="single"/>
          </w:rPr>
          <w:t xml:space="preserve">§ 93</w:t>
        </w:r>
      </w:hyperlink>
      <w:r>
        <w:rPr/>
        <w:t xml:space="preserve"> odstavec 1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(1)</w:t>
      </w:r>
      <w:r>
        <w:rPr/>
        <w:t xml:space="preserve"> Katastrální úřad doplňuje do souboru geodetických informací pozemky dosud evidované zjednodušeným způsobem na základě ohlášení vlastníka doloženého geometrickým plánem nebo i z moci úřední, je-li to potřebné z hlediska správy katastru.“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50.</w:t>
      </w:r>
      <w:r>
        <w:rPr/>
        <w:t xml:space="preserve">	</w:t>
      </w:r>
      <w:r>
        <w:rPr/>
        <w:t xml:space="preserve">V </w:t>
      </w:r>
      <w:hyperlink r:id="rId57" w:history="1">
        <w:r>
          <w:rPr>
            <w:color w:val="darkblue"/>
            <w:u w:val="single"/>
          </w:rPr>
          <w:t xml:space="preserve">§ 95</w:t>
        </w:r>
      </w:hyperlink>
      <w:r>
        <w:rPr/>
        <w:t xml:space="preserve"> se dosavadní text označuje jako odstavec 1 a doplňuje se odstavec 2,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(2)</w:t>
      </w:r>
      <w:r>
        <w:rPr/>
        <w:t xml:space="preserve"> V prostorech, v nichž již došlo k ukončení posunů podle odstavce 1, může katastrální úřad provést kontrolu homogenity geometrického základu s polohopisem katastrální mapy a v případě splnění kritéria přesnosti podle bodu 13.7 přílohy k vyhlášce přistoupit k vyřazení prostoru z prostorů podle odstavce 1. V případě nesplnění kritéria přesnosti podle bodu 13.7 přílohy k vyhlášce na kontrolních měřených bodech prověří katastrální úřad příčinu tohoto stavu a vyřazení prostoru z prostorů podle odstavce 1 provede až po zajištění homogenity geometrického základu s polohopisem katastrální mapy vhodným odborným postupem.“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51.</w:t>
      </w:r>
      <w:r>
        <w:rPr/>
        <w:t xml:space="preserve">	</w:t>
      </w:r>
      <w:r>
        <w:rPr/>
        <w:t xml:space="preserve">V </w:t>
      </w:r>
      <w:hyperlink r:id="rId58" w:history="1">
        <w:r>
          <w:rPr>
            <w:color w:val="darkblue"/>
            <w:u w:val="single"/>
          </w:rPr>
          <w:t xml:space="preserve">§ 97</w:t>
        </w:r>
      </w:hyperlink>
      <w:r>
        <w:rPr/>
        <w:t xml:space="preserve"> se doplňuje odstavec 4,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(4)</w:t>
      </w:r>
      <w:r>
        <w:rPr/>
        <w:t xml:space="preserve"> Katastrální úřad z moci úřední provede výmaz poznámek o vzdání se předkupního práva spoluvlastníka zapsaných podle </w:t>
      </w:r>
      <w:hyperlink r:id="rId59" w:history="1">
        <w:r>
          <w:rPr>
            <w:color w:val="darkblue"/>
            <w:u w:val="single"/>
          </w:rPr>
          <w:t xml:space="preserve">§ 23</w:t>
        </w:r>
      </w:hyperlink>
      <w:r>
        <w:rPr/>
        <w:t xml:space="preserve"> odst. 1 písm. zb) katastrálního zákona, ve znění účinném do 30. června 2020.“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52.</w:t>
      </w:r>
      <w:r>
        <w:rPr/>
        <w:t xml:space="preserve">	</w:t>
      </w:r>
      <w:r>
        <w:rPr/>
        <w:t xml:space="preserve">V příloze bodě 7 u Typu 1 se Kódy způsobu 6 až 8 a 11 až 14 včetně k nim přiřazeného zkráceného názvu způsobu ochrany a významu 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53.</w:t>
      </w:r>
      <w:r>
        <w:rPr/>
        <w:t xml:space="preserve">	</w:t>
      </w:r>
      <w:r>
        <w:rPr/>
        <w:t xml:space="preserve">V příloze bodě 7 u Typu 1 se doplňují Kódy způsobu 38 až 55, které včetně k nim přiřazeného zkráceného názvu způsobu ochrany znějí:</w:t>
      </w:r>
    </w:p>
    <w:p>
      <w:pPr>
        <w:ind w:left="560" w:right="0"/>
      </w:pPr>
      <w:r>
        <w:rPr/>
        <w:t xml:space="preserve">„</w:t>
      </w:r>
    </w:p>
    <w:tbl>
      <w:tblGrid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/>
              <w:t xml:space="preserve"> 38</w:t>
            </w:r>
          </w:p>
        </w:tc>
        <w:tc>
          <w:tcPr/>
          <w:p>
            <w:pPr/>
            <w:r>
              <w:rPr/>
              <w:t xml:space="preserve"> národní park </w:t>
            </w:r>
          </w:p>
        </w:tc>
      </w:tr>
      <w:tr>
        <w:trPr/>
        <w:tc>
          <w:tcPr/>
          <w:p>
            <w:pPr/>
            <w:r>
              <w:rPr/>
              <w:t xml:space="preserve"> 39</w:t>
            </w:r>
          </w:p>
        </w:tc>
        <w:tc>
          <w:tcPr/>
          <w:p>
            <w:pPr/>
            <w:r>
              <w:rPr/>
              <w:t xml:space="preserve"> chráněná krajinná oblast </w:t>
            </w:r>
          </w:p>
        </w:tc>
      </w:tr>
      <w:tr>
        <w:trPr/>
        <w:tc>
          <w:tcPr/>
          <w:p>
            <w:pPr/>
            <w:r>
              <w:rPr/>
              <w:t xml:space="preserve"> 40</w:t>
            </w:r>
          </w:p>
        </w:tc>
        <w:tc>
          <w:tcPr/>
          <w:p>
            <w:pPr/>
            <w:r>
              <w:rPr/>
              <w:t xml:space="preserve"> národní park – zóna přírodní </w:t>
            </w:r>
          </w:p>
        </w:tc>
      </w:tr>
      <w:tr>
        <w:trPr/>
        <w:tc>
          <w:tcPr/>
          <w:p>
            <w:pPr/>
            <w:r>
              <w:rPr/>
              <w:t xml:space="preserve"> 41</w:t>
            </w:r>
          </w:p>
        </w:tc>
        <w:tc>
          <w:tcPr/>
          <w:p>
            <w:pPr/>
            <w:r>
              <w:rPr/>
              <w:t xml:space="preserve"> národní park – zóna přírodě blízká </w:t>
            </w:r>
          </w:p>
        </w:tc>
      </w:tr>
      <w:tr>
        <w:trPr/>
        <w:tc>
          <w:tcPr/>
          <w:p>
            <w:pPr/>
            <w:r>
              <w:rPr/>
              <w:t xml:space="preserve"> 42</w:t>
            </w:r>
          </w:p>
        </w:tc>
        <w:tc>
          <w:tcPr/>
          <w:p>
            <w:pPr/>
            <w:r>
              <w:rPr/>
              <w:t xml:space="preserve"> národní park – zóna soustředěné péče </w:t>
            </w:r>
          </w:p>
        </w:tc>
      </w:tr>
      <w:tr>
        <w:trPr/>
        <w:tc>
          <w:tcPr/>
          <w:p>
            <w:pPr/>
            <w:r>
              <w:rPr/>
              <w:t xml:space="preserve"> 43</w:t>
            </w:r>
          </w:p>
        </w:tc>
        <w:tc>
          <w:tcPr/>
          <w:p>
            <w:pPr/>
            <w:r>
              <w:rPr/>
              <w:t xml:space="preserve"> národní park – zóna kulturní krajina </w:t>
            </w:r>
          </w:p>
        </w:tc>
      </w:tr>
      <w:tr>
        <w:trPr/>
        <w:tc>
          <w:tcPr/>
          <w:p>
            <w:pPr/>
            <w:r>
              <w:rPr/>
              <w:t xml:space="preserve"> 44</w:t>
            </w:r>
          </w:p>
        </w:tc>
        <w:tc>
          <w:tcPr/>
          <w:p>
            <w:pPr/>
            <w:r>
              <w:rPr/>
              <w:t xml:space="preserve"> chráněná krajinná oblast – II. zóna </w:t>
            </w:r>
          </w:p>
        </w:tc>
      </w:tr>
      <w:tr>
        <w:trPr/>
        <w:tc>
          <w:tcPr/>
          <w:p>
            <w:pPr/>
            <w:r>
              <w:rPr/>
              <w:t xml:space="preserve"> 45</w:t>
            </w:r>
          </w:p>
        </w:tc>
        <w:tc>
          <w:tcPr/>
          <w:p>
            <w:pPr/>
            <w:r>
              <w:rPr/>
              <w:t xml:space="preserve"> chráněná krajinná oblast – III. zóna </w:t>
            </w:r>
          </w:p>
        </w:tc>
      </w:tr>
      <w:tr>
        <w:trPr/>
        <w:tc>
          <w:tcPr/>
          <w:p>
            <w:pPr/>
            <w:r>
              <w:rPr/>
              <w:t xml:space="preserve"> 46</w:t>
            </w:r>
          </w:p>
        </w:tc>
        <w:tc>
          <w:tcPr/>
          <w:p>
            <w:pPr/>
            <w:r>
              <w:rPr/>
              <w:t xml:space="preserve"> chráněná krajinná oblast – IV. zóna </w:t>
            </w:r>
          </w:p>
        </w:tc>
      </w:tr>
      <w:tr>
        <w:trPr/>
        <w:tc>
          <w:tcPr/>
          <w:p>
            <w:pPr/>
            <w:r>
              <w:rPr/>
              <w:t xml:space="preserve"> 47</w:t>
            </w:r>
          </w:p>
        </w:tc>
        <w:tc>
          <w:tcPr/>
          <w:p>
            <w:pPr/>
            <w:r>
              <w:rPr/>
              <w:t xml:space="preserve"> národní přírodní rezervace </w:t>
            </w:r>
          </w:p>
        </w:tc>
      </w:tr>
      <w:tr>
        <w:trPr/>
        <w:tc>
          <w:tcPr/>
          <w:p>
            <w:pPr/>
            <w:r>
              <w:rPr/>
              <w:t xml:space="preserve"> 48</w:t>
            </w:r>
          </w:p>
        </w:tc>
        <w:tc>
          <w:tcPr/>
          <w:p>
            <w:pPr/>
            <w:r>
              <w:rPr/>
              <w:t xml:space="preserve"> národní přírodní památka </w:t>
            </w:r>
          </w:p>
        </w:tc>
      </w:tr>
      <w:tr>
        <w:trPr/>
        <w:tc>
          <w:tcPr/>
          <w:p>
            <w:pPr/>
            <w:r>
              <w:rPr/>
              <w:t xml:space="preserve"> 49</w:t>
            </w:r>
          </w:p>
        </w:tc>
        <w:tc>
          <w:tcPr/>
          <w:p>
            <w:pPr/>
            <w:r>
              <w:rPr/>
              <w:t xml:space="preserve"> přírodní rezervace </w:t>
            </w:r>
          </w:p>
        </w:tc>
      </w:tr>
      <w:tr>
        <w:trPr/>
        <w:tc>
          <w:tcPr/>
          <w:p>
            <w:pPr/>
            <w:r>
              <w:rPr/>
              <w:t xml:space="preserve"> 50</w:t>
            </w:r>
          </w:p>
        </w:tc>
        <w:tc>
          <w:tcPr/>
          <w:p>
            <w:pPr/>
            <w:r>
              <w:rPr/>
              <w:t xml:space="preserve"> přírodní památka </w:t>
            </w:r>
          </w:p>
        </w:tc>
      </w:tr>
      <w:tr>
        <w:trPr/>
        <w:tc>
          <w:tcPr/>
          <w:p>
            <w:pPr/>
            <w:r>
              <w:rPr/>
              <w:t xml:space="preserve"> 51</w:t>
            </w:r>
          </w:p>
        </w:tc>
        <w:tc>
          <w:tcPr/>
          <w:p>
            <w:pPr/>
            <w:r>
              <w:rPr/>
              <w:t xml:space="preserve"> ochranné pásmo národní přírodní rezervace </w:t>
            </w:r>
          </w:p>
        </w:tc>
      </w:tr>
      <w:tr>
        <w:trPr/>
        <w:tc>
          <w:tcPr/>
          <w:p>
            <w:pPr/>
            <w:r>
              <w:rPr/>
              <w:t xml:space="preserve"> 52</w:t>
            </w:r>
          </w:p>
        </w:tc>
        <w:tc>
          <w:tcPr/>
          <w:p>
            <w:pPr/>
            <w:r>
              <w:rPr/>
              <w:t xml:space="preserve"> ochranné pásmo národní přírodní památky </w:t>
            </w:r>
          </w:p>
        </w:tc>
      </w:tr>
      <w:tr>
        <w:trPr/>
        <w:tc>
          <w:tcPr/>
          <w:p>
            <w:pPr/>
            <w:r>
              <w:rPr/>
              <w:t xml:space="preserve"> 53</w:t>
            </w:r>
          </w:p>
        </w:tc>
        <w:tc>
          <w:tcPr/>
          <w:p>
            <w:pPr/>
            <w:r>
              <w:rPr/>
              <w:t xml:space="preserve"> ochranné pásmo přírodní rezervace </w:t>
            </w:r>
          </w:p>
        </w:tc>
      </w:tr>
      <w:tr>
        <w:trPr/>
        <w:tc>
          <w:tcPr/>
          <w:p>
            <w:pPr/>
            <w:r>
              <w:rPr/>
              <w:t xml:space="preserve"> 54</w:t>
            </w:r>
          </w:p>
        </w:tc>
        <w:tc>
          <w:tcPr/>
          <w:p>
            <w:pPr/>
            <w:r>
              <w:rPr/>
              <w:t xml:space="preserve"> ochranné pásmo přírodní památky </w:t>
            </w:r>
          </w:p>
        </w:tc>
      </w:tr>
      <w:tr>
        <w:trPr/>
        <w:tc>
          <w:tcPr/>
          <w:p>
            <w:pPr/>
            <w:r>
              <w:rPr/>
              <w:t xml:space="preserve"> 55</w:t>
            </w:r>
          </w:p>
        </w:tc>
        <w:tc>
          <w:tcPr/>
          <w:p>
            <w:pPr/>
            <w:r>
              <w:rPr/>
              <w:t xml:space="preserve"> ochranné pásmo památného stromu </w:t>
            </w:r>
          </w:p>
        </w:tc>
      </w:tr>
    </w:tbl>
    <w:p>
      <w:pPr>
        <w:ind w:left="560" w:right="0"/>
      </w:pPr>
      <w:r>
        <w:rPr/>
        <w:t xml:space="preserve">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54.</w:t>
      </w:r>
      <w:r>
        <w:rPr/>
        <w:t xml:space="preserve">	</w:t>
      </w:r>
      <w:r>
        <w:rPr/>
        <w:t xml:space="preserve">V příloze bodě 7 u Typu 4 se Kód způsobu 23 včetně k němu přiřazeného zkráceného názvu způsobu ochrany a významu 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55.</w:t>
      </w:r>
      <w:r>
        <w:rPr/>
        <w:t xml:space="preserve">	</w:t>
      </w:r>
      <w:r>
        <w:rPr/>
        <w:t xml:space="preserve">V příloze bodě 7 u Typu 4 se doplňují Kódy způsobu 56 a 57, které včetně k nim přiřazeného zkráceného názvu způsobu ochrany znějí:</w:t>
      </w:r>
    </w:p>
    <w:p>
      <w:pPr>
        <w:ind w:left="560" w:right="0"/>
      </w:pPr>
      <w:r>
        <w:rPr/>
        <w:t xml:space="preserve">„</w:t>
      </w:r>
    </w:p>
    <w:tbl>
      <w:tblGrid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/>
              <w:t xml:space="preserve"> 56</w:t>
            </w:r>
          </w:p>
        </w:tc>
        <w:tc>
          <w:tcPr/>
          <w:p>
            <w:pPr/>
            <w:r>
              <w:rPr/>
              <w:t xml:space="preserve"> chráněná ložisková území </w:t>
            </w:r>
          </w:p>
        </w:tc>
      </w:tr>
      <w:tr>
        <w:trPr/>
        <w:tc>
          <w:tcPr/>
          <w:p>
            <w:pPr/>
            <w:r>
              <w:rPr/>
              <w:t xml:space="preserve"> 57</w:t>
            </w:r>
          </w:p>
        </w:tc>
        <w:tc>
          <w:tcPr/>
          <w:p>
            <w:pPr/>
            <w:r>
              <w:rPr/>
              <w:t xml:space="preserve"> chráněná území pro zvl. zásahy do zemské kůry </w:t>
            </w:r>
          </w:p>
        </w:tc>
      </w:tr>
    </w:tbl>
    <w:p>
      <w:pPr>
        <w:ind w:left="560" w:right="0"/>
      </w:pPr>
      <w:r>
        <w:rPr/>
        <w:t xml:space="preserve">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56.</w:t>
      </w:r>
      <w:r>
        <w:rPr/>
        <w:t xml:space="preserve">	</w:t>
      </w:r>
      <w:r>
        <w:rPr/>
        <w:t xml:space="preserve">V příloze bodě 10.4 se mapová značka druhu pozemku poř. číslo 7.01 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57.</w:t>
      </w:r>
      <w:r>
        <w:rPr/>
        <w:t xml:space="preserve">	</w:t>
      </w:r>
      <w:r>
        <w:rPr/>
        <w:t xml:space="preserve">V příloze bodě 14.8 se za větu čtvrtou vkládá věta „Pokud lze v rámci skupiny vyrovnat ucelený soubor parcel (dílů) nového stavu na výměru určenou s kódem způsobu určení výměry 2, zpravidla se takové vyrovnání předřadí před výpočet skupiny a ve skupině se již na tyto parcely (díly) odchylka nerozděluje.“.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58.</w:t>
      </w:r>
      <w:r>
        <w:rPr/>
        <w:t xml:space="preserve">	</w:t>
      </w:r>
      <w:r>
        <w:rPr/>
        <w:t xml:space="preserve">V příloze bodě 16.1 se na konci písmene g) doplňuje věta „Údaje o prokazatelném vyrozumění vlastníka sousedního pozemku při postupu podle </w:t>
      </w:r>
      <w:hyperlink r:id="rId60" w:history="1">
        <w:r>
          <w:rPr>
            <w:color w:val="darkblue"/>
            <w:u w:val="single"/>
          </w:rPr>
          <w:t xml:space="preserve">§ 81</w:t>
        </w:r>
      </w:hyperlink>
      <w:r>
        <w:rPr/>
        <w:t xml:space="preserve"> odst. 3 musí být uvedeny minimálně v rozsahu, kdo, kdy a jak byl vyrozuměn a zda v uvedené lhůtě nebyl doručen písemný nesouhlas s vyhodnocením hranice jako identické.“.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59.</w:t>
      </w:r>
      <w:r>
        <w:rPr/>
        <w:t xml:space="preserve">	</w:t>
      </w:r>
      <w:r>
        <w:rPr/>
        <w:t xml:space="preserve">V příloze bod 16.10 zní:</w:t>
      </w:r>
    </w:p>
    <w:p>
      <w:pPr>
        <w:ind w:left="560" w:right="0"/>
      </w:pPr>
      <w:r>
        <w:rPr/>
        <w:t xml:space="preserve">„16.10 Vzor náčrtu</w:t>
      </w:r>
    </w:p>
    <w:p>
      <w:pPr>
        <w:jc w:val="center"/>
        <w:ind w:left="560" w:right="0"/>
      </w:pPr>
      <w:r>
        <w:pict>
          <v:shape type="#_x0000_t75" style="width:405pt; height:284pt; margin-left:0pt; margin-top:0pt; mso-position-horizontal:left; mso-position-vertical:top; mso-position-horizontal-relative:char; mso-position-vertical-relative:line;">
            <w10:wrap type="inline"/>
            <v:imagedata r:id="rId61" o:title=""/>
          </v:shape>
        </w:pict>
      </w:r>
      <w:r>
        <w:rPr/>
        <w:t xml:space="preserve">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60.</w:t>
      </w:r>
      <w:r>
        <w:rPr/>
        <w:t xml:space="preserve">	</w:t>
      </w:r>
      <w:r>
        <w:rPr/>
        <w:t xml:space="preserve">V příloze bodě 16.11 větě první se za slovo „červeně“ vkládají slova „ , měřická síť a případné konstrukční prvky modře a další předměty, které nejsou obsahem katastru (ohrazení, oplocení, podezdívky apod.), hnědě“.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61.</w:t>
      </w:r>
      <w:r>
        <w:rPr/>
        <w:t xml:space="preserve">	</w:t>
      </w:r>
      <w:r>
        <w:rPr/>
        <w:t xml:space="preserve">V příloze se na konci bodu 16.13 doplňuje věta „Není na závadu, jsou-li v náčrtu zobrazeny skutečnosti nad rámec stanoveného obsahu, pokud tím není zhoršena čitelnost nebo reprodukovatelnost náčrtu.“.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62.</w:t>
      </w:r>
      <w:r>
        <w:rPr/>
        <w:t xml:space="preserve">	</w:t>
      </w:r>
      <w:r>
        <w:rPr/>
        <w:t xml:space="preserve">V příloze se na konci bodu 16.18 doplňuje věta „Pokud jsou údaje zápisníku obsahem protokolu o výpočtech jako součást výstupu ze zpracovatelského programu, náležitostí záznamu podrobného měření změn nemusí být zápisník.“.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63.</w:t>
      </w:r>
      <w:r>
        <w:rPr/>
        <w:t xml:space="preserve">	</w:t>
      </w:r>
      <w:r>
        <w:rPr/>
        <w:t xml:space="preserve">V příloze se na konci bodu 16.20 doplňuje věta „Součástí seznamu souřadnic jsou i stávající body, kterým byly nově doplněny nebo změněny souřadnice polohy.“.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64.</w:t>
      </w:r>
      <w:r>
        <w:rPr/>
        <w:t xml:space="preserve">	</w:t>
      </w:r>
      <w:r>
        <w:rPr/>
        <w:t xml:space="preserve">V příloze bodě 16.25 se za větu první závěrečné části ustanovení vkládá věta „Je-li bod napojení označen v souladu s </w:t>
      </w:r>
      <w:hyperlink r:id="rId60" w:history="1">
        <w:r>
          <w:rPr>
            <w:color w:val="darkblue"/>
            <w:u w:val="single"/>
          </w:rPr>
          <w:t xml:space="preserve">§ 81</w:t>
        </w:r>
      </w:hyperlink>
      <w:r>
        <w:rPr/>
        <w:t xml:space="preserve"> odst. 3 trvalým způsobem, uvede se kód kvality 3.“.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65.</w:t>
      </w:r>
      <w:r>
        <w:rPr/>
        <w:t xml:space="preserve">	</w:t>
      </w:r>
      <w:r>
        <w:rPr/>
        <w:t xml:space="preserve">V příloze bodě 16.26 písm. b) se slova „dosavadní geometrické a polohové určení nelze zpřesnit“ nahrazují slovy „se nejedná o případy podle bodu 16.25 písm. d)“.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66.</w:t>
      </w:r>
      <w:r>
        <w:rPr/>
        <w:t xml:space="preserve">	</w:t>
      </w:r>
      <w:r>
        <w:rPr/>
        <w:t xml:space="preserve">V příloze bodě 16.26 písm. c) se za slovo „případech“ vkládají slova „poznamenaných do protokolu o výpočtech“.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67.</w:t>
      </w:r>
      <w:r>
        <w:rPr/>
        <w:t xml:space="preserve">	</w:t>
      </w:r>
      <w:r>
        <w:rPr/>
        <w:t xml:space="preserve">V příloze bod 16.28 zní:</w:t>
      </w:r>
    </w:p>
    <w:p>
      <w:pPr>
        <w:ind w:left="560" w:right="0"/>
      </w:pPr>
      <w:r>
        <w:rPr/>
        <w:t xml:space="preserve">„16.28 Vzor vytyčovacího náčrtu</w:t>
      </w:r>
    </w:p>
    <w:p>
      <w:pPr>
        <w:jc w:val="center"/>
        <w:ind w:left="560" w:right="0"/>
      </w:pPr>
      <w:r>
        <w:pict>
          <v:shape type="#_x0000_t75" style="width:405pt; height:292pt; margin-left:0pt; margin-top:0pt; mso-position-horizontal:left; mso-position-vertical:top; mso-position-horizontal-relative:char; mso-position-vertical-relative:line;">
            <w10:wrap type="inline"/>
            <v:imagedata r:id="rId62" o:title=""/>
          </v:shape>
        </w:pict>
      </w:r>
    </w:p>
    <w:p>
      <w:pPr>
        <w:jc w:val="center"/>
        <w:ind w:left="560" w:right="0"/>
      </w:pPr>
      <w:r>
        <w:pict>
          <v:shape type="#_x0000_t75" style="width:405pt; height:240pt; margin-left:0pt; margin-top:0pt; mso-position-horizontal:left; mso-position-vertical:top; mso-position-horizontal-relative:char; mso-position-vertical-relative:line;">
            <w10:wrap type="inline"/>
            <v:imagedata r:id="rId63" o:title=""/>
          </v:shape>
        </w:pict>
      </w:r>
      <w:r>
        <w:rPr/>
        <w:t xml:space="preserve">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68.</w:t>
      </w:r>
      <w:r>
        <w:rPr/>
        <w:t xml:space="preserve">	</w:t>
      </w:r>
      <w:r>
        <w:rPr/>
        <w:t xml:space="preserve">V příloze bodě 16.31 se za větu první vkládá věta „Je-li vytyčení hranice pozemků samostatným účelem vyhotovení záznamu podrobného měření změn a současně není vyhotovován náčrt podle bodu 16.1 písm. b), jsou obsahem vytyčovacího náčrtu rovněž další náležitosti obdobné náležitostem náčrtu záznamu podrobného měření změn.“.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69.</w:t>
      </w:r>
      <w:r>
        <w:rPr/>
        <w:t xml:space="preserve">	</w:t>
      </w:r>
      <w:r>
        <w:rPr/>
        <w:t xml:space="preserve">V příloze bod 17.6 zní:</w:t>
      </w:r>
    </w:p>
    <w:p>
      <w:pPr>
        <w:ind w:left="560" w:right="0"/>
      </w:pPr>
      <w:r>
        <w:rPr/>
        <w:t xml:space="preserve">„17.6 Vzor grafického znázornění</w:t>
      </w:r>
    </w:p>
    <w:p>
      <w:pPr>
        <w:jc w:val="center"/>
        <w:ind w:left="560" w:right="0"/>
      </w:pPr>
      <w:r>
        <w:pict>
          <v:shape type="#_x0000_t75" style="width:405pt; height:287pt; margin-left:0pt; margin-top:0pt; mso-position-horizontal:left; mso-position-vertical:top; mso-position-horizontal-relative:char; mso-position-vertical-relative:line;">
            <w10:wrap type="inline"/>
            <v:imagedata r:id="rId64" o:title=""/>
          </v:shape>
        </w:pict>
      </w:r>
      <w:r>
        <w:rPr/>
        <w:t xml:space="preserve">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70.</w:t>
      </w:r>
      <w:r>
        <w:rPr/>
        <w:t xml:space="preserve">	</w:t>
      </w:r>
      <w:r>
        <w:rPr/>
        <w:t xml:space="preserve">V příloze bodě 17.8 písmeno c)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„c)</w:t>
      </w:r>
      <w:r>
        <w:rPr/>
        <w:t xml:space="preserve">	</w:t>
      </w:r>
      <w:r>
        <w:rPr/>
        <w:t xml:space="preserve">značka pořadové číslo 1.05 pro hraniční znak bodu pro dosavadní (černě) i nový (červeně) stav. Značka pořadové číslo 1.05 a číslo 1.09 (červeně) pro bod na dosavadní hranici, jehož poloha je zpřesněna podle katastrálního zákona, přitom pro zobrazení značky číslo 1.05 se použije tloušťka čáry o specifikaci 4 a pro zobrazení značky 1.09 průměr značky 1 mm,“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71.</w:t>
      </w:r>
      <w:r>
        <w:rPr/>
        <w:t xml:space="preserve">	</w:t>
      </w:r>
      <w:r>
        <w:rPr/>
        <w:t xml:space="preserve">V příloze bodě 17.22 ve sloupci Poznámka v řádku příslušejícím k bodu číslo 13 se slova „zabet. železná trubka“ nahrazují slovy „plast. mezník“ a v řádcích příslušejících k bodům číslo 14 až 16 se slovo „kolík“ nahrazuje slovy „zabet. železná trubka“.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72.</w:t>
      </w:r>
      <w:r>
        <w:rPr/>
        <w:t xml:space="preserve">	</w:t>
      </w:r>
      <w:r>
        <w:rPr/>
        <w:t xml:space="preserve">V příloze bodě 18.3 se slova „Portable Document Format (PDF) nebo“ 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73.</w:t>
      </w:r>
      <w:r>
        <w:rPr/>
        <w:t xml:space="preserve">	</w:t>
      </w:r>
      <w:r>
        <w:rPr/>
        <w:t xml:space="preserve">V příloze bodě 18.6 se slova „c:\ISKN_ _Home\temp\Import\</w:t>
      </w:r>
      <w:r>
        <w:rPr>
          <w:i/>
          <w:iCs/>
        </w:rPr>
        <w:t xml:space="preserve">nazev_souboru</w:t>
      </w:r>
      <w:r>
        <w:rPr/>
        <w:t xml:space="preserve">.gif“ nahrazují slovy „c:\ISKN_ce_Home\temp\Import\</w:t>
      </w:r>
      <w:r>
        <w:rPr>
          <w:i/>
          <w:iCs/>
        </w:rPr>
        <w:t xml:space="preserve">nazev_souboru</w:t>
      </w:r>
      <w:r>
        <w:rPr/>
        <w:t xml:space="preserve">.gif“, slovo „a“ za slovy „v položce způsob určení na 40“ se nahrazuje čárkou a na konci bodu se doplňují slova „a v položce bod zřídil (jméno) na 23“.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74.</w:t>
      </w:r>
      <w:r>
        <w:rPr/>
        <w:t xml:space="preserve">	</w:t>
      </w:r>
      <w:r>
        <w:rPr/>
        <w:t xml:space="preserve">V příloze se body 19 až 21 zrušují.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Přechodná ustanovení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Údaj o zakladateli svěřenského fondu vedený v katastru nemovitostí podle vyhlášky č. </w:t>
      </w:r>
      <w:hyperlink r:id="rId7" w:history="1">
        <w:r>
          <w:rPr>
            <w:color w:val="darkblue"/>
            <w:u w:val="single"/>
          </w:rPr>
          <w:t xml:space="preserve">357/2013 Sb.</w:t>
        </w:r>
      </w:hyperlink>
      <w:r>
        <w:rPr/>
        <w:t xml:space="preserve">, ve znění účinném přede dnem nabytí účinnosti této vyhlášky, vymaže katastrální úřad z moci úřední do 3 měsíců ode dne nabytí účinnosti této vyhlášky.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Výsledky zeměměřických činností pro účely katastru předložené katastrálnímu úřadu k převzetí do 30. června 2023 mohou svými náležitostmi odpovídat vyhlášce č. </w:t>
      </w:r>
      <w:hyperlink r:id="rId7" w:history="1">
        <w:r>
          <w:rPr>
            <w:color w:val="darkblue"/>
            <w:u w:val="single"/>
          </w:rPr>
          <w:t xml:space="preserve">357/2013 Sb.</w:t>
        </w:r>
      </w:hyperlink>
      <w:r>
        <w:rPr/>
        <w:t xml:space="preserve">, ve znění účinném přede dnem nabytí účinnosti této vyhlášky; bod 17.8 písm. c) přílohy k této vyhlášce se přitom použije ve znění účinném od 1. ledna 2023.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Katastrální úřad doplní údaje o podlahových plochách podle </w:t>
      </w:r>
      <w:hyperlink r:id="rId65" w:history="1">
        <w:r>
          <w:rPr>
            <w:color w:val="darkblue"/>
            <w:u w:val="single"/>
          </w:rPr>
          <w:t xml:space="preserve">§ 15</w:t>
        </w:r>
      </w:hyperlink>
      <w:r>
        <w:rPr/>
        <w:t xml:space="preserve"> této vyhlášky ve znění účinném od 1. ledna 2024 u jednotek zapsaných do 31. prosince 2023 postupně podle pokynů Úřadu.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Údaje o typech a způsobech ochrany nemovitostí zapsané přede dnem nabytí účinnosti této vyhlášky se evidují podle vyhlášky č. </w:t>
      </w:r>
      <w:hyperlink r:id="rId7" w:history="1">
        <w:r>
          <w:rPr>
            <w:color w:val="darkblue"/>
            <w:u w:val="single"/>
          </w:rPr>
          <w:t xml:space="preserve">357/2013 Sb.</w:t>
        </w:r>
      </w:hyperlink>
      <w:r>
        <w:rPr/>
        <w:t xml:space="preserve">, ve znění účinném přede dnem nabytí účinnosti této vyhlášky, do doby, než příslušný orgán ochrany přírody a krajiny nebo odborná organizace ochrany přírody a krajiny, která vede ústřední seznam ochrany přírody, ohlásí údaje o typech a způsobech ochrany nemovitostí podle vyhlášky č. </w:t>
      </w:r>
      <w:hyperlink r:id="rId7" w:history="1">
        <w:r>
          <w:rPr>
            <w:color w:val="darkblue"/>
            <w:u w:val="single"/>
          </w:rPr>
          <w:t xml:space="preserve">357/2013 Sb.</w:t>
        </w:r>
      </w:hyperlink>
      <w:r>
        <w:rPr/>
        <w:t xml:space="preserve">, ve znění účinném ode dne nabytí účinnosti této vyhlášky.</w:t>
      </w:r>
    </w:p>
    <w:p>
      <w:pPr>
        <w:pStyle w:val="Heading1"/>
      </w:pPr>
      <w:r>
        <w:rPr>
          <w:b/>
          <w:bCs/>
        </w:rPr>
        <w:t xml:space="preserve">Čl. III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1. ledna 2023, s výjimkou ustanovení čl. I bodů 7 a 8 a čl. II bodu 3, která nabývají účinnosti dnem 1. ledna 2024.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Večeře</w:t>
      </w:r>
      <w:r>
        <w:rPr/>
        <w:t xml:space="preserve"> v. r.</w:t>
      </w:r>
    </w:p>
    <w:sectPr>
      <w:headerReference w:type="default" r:id="rId66"/>
      <w:footerReference w:type="default" r:id="rId6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346/2022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13s357" TargetMode="External"/><Relationship Id="rId8" Type="http://schemas.openxmlformats.org/officeDocument/2006/relationships/hyperlink" Target="https://esipa.cz/sbirka/sbsrv.dll/sb?DR=AZ&amp;CP=2013s256-2022s240#P66" TargetMode="External"/><Relationship Id="rId9" Type="http://schemas.openxmlformats.org/officeDocument/2006/relationships/hyperlink" Target="https://esipa.cz/sbirka/sbsrv.dll/sb?DR=SB&amp;CP=2013s256" TargetMode="External"/><Relationship Id="rId10" Type="http://schemas.openxmlformats.org/officeDocument/2006/relationships/hyperlink" Target="https://esipa.cz/sbirka/sbsrv.dll/sb?DR=SB&amp;CP=2017s087" TargetMode="External"/><Relationship Id="rId11" Type="http://schemas.openxmlformats.org/officeDocument/2006/relationships/hyperlink" Target="https://esipa.cz/sbirka/sbsrv.dll/sb?DR=SB&amp;CP=2019s301" TargetMode="External"/><Relationship Id="rId12" Type="http://schemas.openxmlformats.org/officeDocument/2006/relationships/hyperlink" Target="https://esipa.cz/sbirka/sbsrv.dll/sb?DR=AZ&amp;CP=2013s357-2019s301#P5" TargetMode="External"/><Relationship Id="rId13" Type="http://schemas.openxmlformats.org/officeDocument/2006/relationships/hyperlink" Target="https://esipa.cz/sbirka/sbsrv.dll/sb?DR=AZ&amp;CP=2013s357-2019s301#P9" TargetMode="External"/><Relationship Id="rId14" Type="http://schemas.openxmlformats.org/officeDocument/2006/relationships/hyperlink" Target="https://esipa.cz/sbirka/sbsrv.dll/sb?DR=AZ&amp;CP=2013s357-2019s301#P14" TargetMode="External"/><Relationship Id="rId15" Type="http://schemas.openxmlformats.org/officeDocument/2006/relationships/hyperlink" Target="https://esipa.cz/sbirka/sbsrv.dll/sb?DR=AZ&amp;CP=2013s357-2019s301#P15" TargetMode="External"/><Relationship Id="rId16" Type="http://schemas.openxmlformats.org/officeDocument/2006/relationships/hyperlink" Target="https://esipa.cz/sbirka/sbsrv.dll/sb?DR=AZ&amp;CP=2013s357-2022s346#P15" TargetMode="External"/><Relationship Id="rId17" Type="http://schemas.openxmlformats.org/officeDocument/2006/relationships/hyperlink" Target="https://esipa.cz/sbirka/sbsrv.dll/sb?DR=AZ&amp;CP=2013s357-2019s301#P18" TargetMode="External"/><Relationship Id="rId18" Type="http://schemas.openxmlformats.org/officeDocument/2006/relationships/hyperlink" Target="https://esipa.cz/sbirka/sbsrv.dll/sb?DR=AZ&amp;CP=2013s357-2019s301#P21" TargetMode="External"/><Relationship Id="rId19" Type="http://schemas.openxmlformats.org/officeDocument/2006/relationships/hyperlink" Target="https://esipa.cz/sbirka/sbsrv.dll/sb?DR=AZ&amp;CP=2013s357-2019s301#P22" TargetMode="External"/><Relationship Id="rId20" Type="http://schemas.openxmlformats.org/officeDocument/2006/relationships/hyperlink" Target="https://esipa.cz/sbirka/sbsrv.dll/sb?DR=AZ&amp;CP=2013s357-2022s346#P14" TargetMode="External"/><Relationship Id="rId21" Type="http://schemas.openxmlformats.org/officeDocument/2006/relationships/hyperlink" Target="https://esipa.cz/sbirka/sbsrv.dll/sb?DR=AZ&amp;CP=2013s357-2022s346#P18" TargetMode="External"/><Relationship Id="rId22" Type="http://schemas.openxmlformats.org/officeDocument/2006/relationships/hyperlink" Target="https://esipa.cz/sbirka/sbsrv.dll/sb?DR=AZ&amp;CP=2013s357-2022s346#P20" TargetMode="External"/><Relationship Id="rId23" Type="http://schemas.openxmlformats.org/officeDocument/2006/relationships/hyperlink" Target="https://esipa.cz/sbirka/sbsrv.dll/sb?DR=AZ&amp;CP=2013s357-2022s346#P21" TargetMode="External"/><Relationship Id="rId24" Type="http://schemas.openxmlformats.org/officeDocument/2006/relationships/hyperlink" Target="https://esipa.cz/sbirka/sbsrv.dll/sb?DR=AZ&amp;CP=2013s357-2019s301#P23" TargetMode="External"/><Relationship Id="rId25" Type="http://schemas.openxmlformats.org/officeDocument/2006/relationships/hyperlink" Target="https://esipa.cz/sbirka/sbsrv.dll/sb?DR=AZ&amp;CP=1964s040-2011s428#C01_H05_P058" TargetMode="External"/><Relationship Id="rId26" Type="http://schemas.openxmlformats.org/officeDocument/2006/relationships/hyperlink" Target="https://esipa.cz/sbirka/sbsrv.dll/sb?DR=SB&amp;CP=1964s040" TargetMode="External"/><Relationship Id="rId27" Type="http://schemas.openxmlformats.org/officeDocument/2006/relationships/hyperlink" Target="https://esipa.cz/sbirka/sbsrv.dll/sb?DR=AZ&amp;CP=2013s357-2019s301#P24" TargetMode="External"/><Relationship Id="rId28" Type="http://schemas.openxmlformats.org/officeDocument/2006/relationships/hyperlink" Target="https://esipa.cz/sbirka/sbsrv.dll/sb?DR=AZ&amp;CP=2013s357-2019s301#P25" TargetMode="External"/><Relationship Id="rId29" Type="http://schemas.openxmlformats.org/officeDocument/2006/relationships/hyperlink" Target="https://esipa.cz/sbirka/sbsrv.dll/sb?DR=AZ&amp;CP=2013s357-2019s301#P26" TargetMode="External"/><Relationship Id="rId30" Type="http://schemas.openxmlformats.org/officeDocument/2006/relationships/hyperlink" Target="https://esipa.cz/sbirka/sbsrv.dll/sb?DR=AZ&amp;CP=2013s357-2019s301#P28" TargetMode="External"/><Relationship Id="rId31" Type="http://schemas.openxmlformats.org/officeDocument/2006/relationships/hyperlink" Target="https://esipa.cz/sbirka/sbsrv.dll/sb?DR=AZ&amp;CP=2013s357-2022s346#P24" TargetMode="External"/><Relationship Id="rId32" Type="http://schemas.openxmlformats.org/officeDocument/2006/relationships/hyperlink" Target="https://esipa.cz/sbirka/sbsrv.dll/sb?DR=AZ&amp;CP=2012s089-2021s192#P985" TargetMode="External"/><Relationship Id="rId33" Type="http://schemas.openxmlformats.org/officeDocument/2006/relationships/hyperlink" Target="https://esipa.cz/sbirka/sbsrv.dll/sb?DR=AZ&amp;CP=2013s256-2022s240#P23" TargetMode="External"/><Relationship Id="rId34" Type="http://schemas.openxmlformats.org/officeDocument/2006/relationships/hyperlink" Target="https://esipa.cz/sbirka/sbsrv.dll/sb?DR=AZ&amp;CP=2013s357-2019s301#P35" TargetMode="External"/><Relationship Id="rId35" Type="http://schemas.openxmlformats.org/officeDocument/2006/relationships/hyperlink" Target="https://esipa.cz/sbirka/sbsrv.dll/sb?DR=AZ&amp;CP=2013s357-2019s301#P36" TargetMode="External"/><Relationship Id="rId36" Type="http://schemas.openxmlformats.org/officeDocument/2006/relationships/hyperlink" Target="https://esipa.cz/sbirka/sbsrv.dll/sb?DR=AZ&amp;CP=2013s357-2019s301#P37" TargetMode="External"/><Relationship Id="rId37" Type="http://schemas.openxmlformats.org/officeDocument/2006/relationships/hyperlink" Target="https://esipa.cz/sbirka/sbsrv.dll/sb?DR=AZ&amp;CP=2013s357-2019s301#P39" TargetMode="External"/><Relationship Id="rId38" Type="http://schemas.openxmlformats.org/officeDocument/2006/relationships/hyperlink" Target="https://esipa.cz/sbirka/sbsrv.dll/sb?DR=AZ&amp;CP=2013s357-2019s301#P42" TargetMode="External"/><Relationship Id="rId39" Type="http://schemas.openxmlformats.org/officeDocument/2006/relationships/hyperlink" Target="https://esipa.cz/sbirka/sbsrv.dll/sb?DR=AZ&amp;CP=2013s357-2019s301#P44" TargetMode="External"/><Relationship Id="rId40" Type="http://schemas.openxmlformats.org/officeDocument/2006/relationships/hyperlink" Target="https://esipa.cz/sbirka/sbsrv.dll/sb?DR=AZ&amp;CP=2013s357-2019s301#P51" TargetMode="External"/><Relationship Id="rId41" Type="http://schemas.openxmlformats.org/officeDocument/2006/relationships/hyperlink" Target="https://esipa.cz/sbirka/sbsrv.dll/sb?DR=AZ&amp;CP=2013s357-2019s301#P62" TargetMode="External"/><Relationship Id="rId42" Type="http://schemas.openxmlformats.org/officeDocument/2006/relationships/hyperlink" Target="https://esipa.cz/sbirka/sbsrv.dll/sb?DR=AZ&amp;CP=2013s357-2019s301#P67" TargetMode="External"/><Relationship Id="rId43" Type="http://schemas.openxmlformats.org/officeDocument/2006/relationships/hyperlink" Target="https://esipa.cz/sbirka/sbsrv.dll/sb?DR=AZ&amp;CP=2013s256-2022s240#P65" TargetMode="External"/><Relationship Id="rId44" Type="http://schemas.openxmlformats.org/officeDocument/2006/relationships/hyperlink" Target="https://esipa.cz/sbirka/sbsrv.dll/sb?DR=AZ&amp;CP=2013s357-2022s346#P66" TargetMode="External"/><Relationship Id="rId45" Type="http://schemas.openxmlformats.org/officeDocument/2006/relationships/hyperlink" Target="https://esipa.cz/sbirka/sbsrv.dll/sb?DR=AZ&amp;CP=2013s357-2019s301#P70" TargetMode="External"/><Relationship Id="rId46" Type="http://schemas.openxmlformats.org/officeDocument/2006/relationships/hyperlink" Target="https://esipa.cz/sbirka/sbsrv.dll/sb?DR=AZ&amp;CP=2012s089-2021s192#P1390" TargetMode="External"/><Relationship Id="rId47" Type="http://schemas.openxmlformats.org/officeDocument/2006/relationships/hyperlink" Target="https://esipa.cz/sbirka/sbsrv.dll/sb?DR=AZ&amp;CP=2012s089-2021s192#P1364" TargetMode="External"/><Relationship Id="rId48" Type="http://schemas.openxmlformats.org/officeDocument/2006/relationships/hyperlink" Target="https://esipa.cz/sbirka/sbsrv.dll/sb?DR=AZ&amp;CP=2016s257-2022s096#P123" TargetMode="External"/><Relationship Id="rId49" Type="http://schemas.openxmlformats.org/officeDocument/2006/relationships/hyperlink" Target="https://esipa.cz/sbirka/sbsrv.dll/sb?DR=AZ&amp;CP=2013s357-2019s301#P72" TargetMode="External"/><Relationship Id="rId50" Type="http://schemas.openxmlformats.org/officeDocument/2006/relationships/hyperlink" Target="https://esipa.cz/sbirka/sbsrv.dll/sb?DR=AZ&amp;CP=2013s357-2019s301#P73" TargetMode="External"/><Relationship Id="rId51" Type="http://schemas.openxmlformats.org/officeDocument/2006/relationships/hyperlink" Target="https://esipa.cz/sbirka/sbsrv.dll/sb?DR=AZ&amp;CP=2013s357-2019s301#P74" TargetMode="External"/><Relationship Id="rId52" Type="http://schemas.openxmlformats.org/officeDocument/2006/relationships/hyperlink" Target="https://esipa.cz/sbirka/sbsrv.dll/sb?DR=AZ&amp;CP=2013s357-2019s301#P78" TargetMode="External"/><Relationship Id="rId53" Type="http://schemas.openxmlformats.org/officeDocument/2006/relationships/hyperlink" Target="https://esipa.cz/sbirka/sbsrv.dll/sb?DR=AZ&amp;CP=2013s357-2019s301#P81" TargetMode="External"/><Relationship Id="rId54" Type="http://schemas.openxmlformats.org/officeDocument/2006/relationships/hyperlink" Target="https://esipa.cz/sbirka/sbsrv.dll/sb?DR=AZ&amp;CP=2013s357-2019s301#P85" TargetMode="External"/><Relationship Id="rId55" Type="http://schemas.openxmlformats.org/officeDocument/2006/relationships/hyperlink" Target="https://esipa.cz/sbirka/sbsrv.dll/sb?DR=AZ&amp;CP=2013s357-2019s301#P89" TargetMode="External"/><Relationship Id="rId56" Type="http://schemas.openxmlformats.org/officeDocument/2006/relationships/hyperlink" Target="https://esipa.cz/sbirka/sbsrv.dll/sb?DR=AZ&amp;CP=2013s357-2019s301#P93" TargetMode="External"/><Relationship Id="rId57" Type="http://schemas.openxmlformats.org/officeDocument/2006/relationships/hyperlink" Target="https://esipa.cz/sbirka/sbsrv.dll/sb?DR=AZ&amp;CP=2013s357-2019s301#P95" TargetMode="External"/><Relationship Id="rId58" Type="http://schemas.openxmlformats.org/officeDocument/2006/relationships/hyperlink" Target="https://esipa.cz/sbirka/sbsrv.dll/sb?DR=AZ&amp;CP=2013s357-2019s301#P97" TargetMode="External"/><Relationship Id="rId59" Type="http://schemas.openxmlformats.org/officeDocument/2006/relationships/hyperlink" Target="https://esipa.cz/sbirka/sbsrv.dll/sb?DR=AZ&amp;CP=2013s357-2022s346#P23" TargetMode="External"/><Relationship Id="rId60" Type="http://schemas.openxmlformats.org/officeDocument/2006/relationships/hyperlink" Target="https://esipa.cz/sbirka/sbsrv.dll/sb?DR=AZ&amp;CP=2013s357-2022s346#P81" TargetMode="External"/><Relationship Id="rId61" Type="http://schemas.openxmlformats.org/officeDocument/2006/relationships/image" Target="media/section_image1.png"/><Relationship Id="rId62" Type="http://schemas.openxmlformats.org/officeDocument/2006/relationships/image" Target="media/section_image2.png"/><Relationship Id="rId63" Type="http://schemas.openxmlformats.org/officeDocument/2006/relationships/image" Target="media/section_image3.png"/><Relationship Id="rId64" Type="http://schemas.openxmlformats.org/officeDocument/2006/relationships/image" Target="media/section_image4.png"/><Relationship Id="rId65" Type="http://schemas.openxmlformats.org/officeDocument/2006/relationships/hyperlink" Target="https://esipa.cz/sbirka/sbsrv.dll/sb?DR=AZ&amp;CP=2013s357-2022s346_20240101#P15" TargetMode="External"/><Relationship Id="rId66" Type="http://schemas.openxmlformats.org/officeDocument/2006/relationships/header" Target="header1.xml"/><Relationship Id="rId67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346/2022 Sb. - původní znění</dc:title>
  <dc:description>Vyhláška, kterou se mění vyhláška č. 357/2013 Sb., o katastru nemovitostí (katastrální vyhláška), ve znění pozdějších předpisů</dc:description>
  <dc:subject/>
  <cp:keywords/>
  <cp:category/>
  <cp:lastModifiedBy/>
  <dcterms:created xsi:type="dcterms:W3CDTF">2023-01-01T00:00:00+01:00</dcterms:created>
  <dcterms:modified xsi:type="dcterms:W3CDTF">2022-12-09T13:14:12+01:00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