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348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15. listopadu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25/2020 Sb.</w:t>
        </w:r>
      </w:hyperlink>
      <w:r>
        <w:rPr>
          <w:b/>
          <w:bCs/>
        </w:rPr>
        <w:t xml:space="preserve">, o předepisování léčivých přípravků při poskytování veterinární péče</w:t>
      </w:r>
    </w:p>
    <w:p/>
    <w:p>
      <w:pPr>
        <w:jc w:val="left"/>
        <w:ind w:left="0" w:right="0"/>
        <w:spacing w:after="0"/>
      </w:pPr>
      <w:r>
        <w:rPr/>
        <w:t xml:space="preserve">Ministerstvo zemědělství stanoví podle </w:t>
      </w:r>
      <w:hyperlink r:id="rId8" w:history="1">
        <w:r>
          <w:rPr>
            <w:color w:val="darkblue"/>
            <w:u w:val="single"/>
          </w:rPr>
          <w:t xml:space="preserve">§ 114</w:t>
        </w:r>
      </w:hyperlink>
      <w:r>
        <w:rPr/>
        <w:t xml:space="preserve"> odst. 3 zákona č. </w:t>
      </w:r>
      <w:hyperlink r:id="rId9" w:history="1">
        <w:r>
          <w:rPr>
            <w:color w:val="darkblue"/>
            <w:u w:val="single"/>
          </w:rPr>
          <w:t xml:space="preserve">378/2007 Sb.</w:t>
        </w:r>
      </w:hyperlink>
      <w:r>
        <w:rPr/>
        <w:t xml:space="preserve">, o léčivech a o změně některých souvisejících zákonů (zákon o léčivech), ve znění zákona č. </w:t>
      </w:r>
      <w:hyperlink r:id="rId10" w:history="1">
        <w:r>
          <w:rPr>
            <w:color w:val="darkblue"/>
            <w:u w:val="single"/>
          </w:rPr>
          <w:t xml:space="preserve">70/2013 Sb.</w:t>
        </w:r>
      </w:hyperlink>
      <w:r>
        <w:rPr/>
        <w:t xml:space="preserve"> a zákona č. </w:t>
      </w:r>
      <w:hyperlink r:id="rId11" w:history="1">
        <w:r>
          <w:rPr>
            <w:color w:val="darkblue"/>
            <w:u w:val="single"/>
          </w:rPr>
          <w:t xml:space="preserve">262/2019 Sb.</w:t>
        </w:r>
      </w:hyperlink>
      <w:r>
        <w:rPr/>
        <w:t xml:space="preserve">, (dále jen „zákon“) k provedení </w:t>
      </w:r>
      <w:hyperlink r:id="rId12" w:history="1">
        <w:r>
          <w:rPr>
            <w:color w:val="darkblue"/>
            <w:u w:val="single"/>
          </w:rPr>
          <w:t xml:space="preserve">§ 71</w:t>
        </w:r>
      </w:hyperlink>
      <w:r>
        <w:rPr/>
        <w:t xml:space="preserve"> odst. 2, </w:t>
      </w:r>
      <w:hyperlink r:id="rId13" w:history="1">
        <w:r>
          <w:rPr>
            <w:color w:val="darkblue"/>
            <w:u w:val="single"/>
          </w:rPr>
          <w:t xml:space="preserve">§ 74</w:t>
        </w:r>
      </w:hyperlink>
      <w:r>
        <w:rPr/>
        <w:t xml:space="preserve"> odst. 1 a </w:t>
      </w:r>
      <w:hyperlink r:id="rId14" w:history="1">
        <w:r>
          <w:rPr>
            <w:color w:val="darkblue"/>
            <w:u w:val="single"/>
          </w:rPr>
          <w:t xml:space="preserve">§ 80a</w:t>
        </w:r>
      </w:hyperlink>
      <w:r>
        <w:rPr/>
        <w:t xml:space="preserve"> odst. 3 zákona a podle </w:t>
      </w:r>
      <w:hyperlink r:id="rId15" w:history="1">
        <w:r>
          <w:rPr>
            <w:color w:val="darkblue"/>
            <w:u w:val="single"/>
          </w:rPr>
          <w:t xml:space="preserve">§ 44c</w:t>
        </w:r>
      </w:hyperlink>
      <w:r>
        <w:rPr/>
        <w:t xml:space="preserve"> odst. 4 zákona č. </w:t>
      </w:r>
      <w:hyperlink r:id="rId16" w:history="1">
        <w:r>
          <w:rPr>
            <w:color w:val="darkblue"/>
            <w:u w:val="single"/>
          </w:rPr>
          <w:t xml:space="preserve">167/1998 Sb.</w:t>
        </w:r>
      </w:hyperlink>
      <w:r>
        <w:rPr/>
        <w:t xml:space="preserve">, o návykových látkách, ve znění zákona č. </w:t>
      </w:r>
      <w:hyperlink r:id="rId17" w:history="1">
        <w:r>
          <w:rPr>
            <w:color w:val="darkblue"/>
            <w:u w:val="single"/>
          </w:rPr>
          <w:t xml:space="preserve">273/2013 Sb.</w:t>
        </w:r>
      </w:hyperlink>
      <w:r>
        <w:rPr/>
        <w:t xml:space="preserve"> a zákona č. </w:t>
      </w:r>
      <w:hyperlink r:id="rId18" w:history="1">
        <w:r>
          <w:rPr>
            <w:color w:val="darkblue"/>
            <w:u w:val="single"/>
          </w:rPr>
          <w:t xml:space="preserve">366/2021 Sb.</w:t>
        </w:r>
      </w:hyperlink>
      <w:r>
        <w:rPr/>
        <w:t xml:space="preserve">, (dále jen „zákon o návykových látkách“) k provedení </w:t>
      </w:r>
      <w:hyperlink r:id="rId19" w:history="1">
        <w:r>
          <w:rPr>
            <w:color w:val="darkblue"/>
            <w:u w:val="single"/>
          </w:rPr>
          <w:t xml:space="preserve">§ 13</w:t>
        </w:r>
      </w:hyperlink>
      <w:r>
        <w:rPr/>
        <w:t xml:space="preserve"> odst. 11 písm. e) a f) zákona o návykových látkách: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25/2020 Sb.</w:t>
        </w:r>
      </w:hyperlink>
      <w:r>
        <w:rPr/>
        <w:t xml:space="preserve">, o předepisování léčivých přípravků při poskytování veterinární péče,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písm. a) se slova „náležitosti receptu a žádanky“ nahrazují slovy „rozsah údajů uváděných na receptu a žádance“.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písmeno b)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„b)</w:t>
      </w:r>
      <w:r>
        <w:rPr/>
        <w:t xml:space="preserve">	</w:t>
      </w:r>
      <w:r>
        <w:rPr/>
        <w:t xml:space="preserve">údaje uváděné na receptu s modrým pruhem vystaveným v listinné podobě, dobu jeho platnosti, omezení s ohledem na druh a množství léčivých přípravků pro léčbu zvířat, které na něm lze předepsat, a pravidla pro jeho používání,“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za písmeno b) vkládá nové písmeno c),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„c)</w:t>
      </w:r>
      <w:r>
        <w:rPr/>
        <w:t xml:space="preserve">	</w:t>
      </w:r>
      <w:r>
        <w:rPr/>
        <w:t xml:space="preserve">údaje uváděné na žádance s modrým pruhem vystavené v listinné podobě, dobu její platnosti, omezení s ohledem na druh a množství léčivých přípravků pro léčbu zvířat, které na ní lze předepsat, a pravidla pro její používání,“</w:t>
      </w:r>
    </w:p>
    <w:p>
      <w:pPr>
        <w:ind w:left="560" w:right="0"/>
      </w:pPr>
      <w:r>
        <w:rPr/>
        <w:t xml:space="preserve">Dosavadní písmena c) a d) se označují jako písmena d) a e).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Nad označení 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vkládá nadpis, který zní:</w:t>
      </w:r>
    </w:p>
    <w:p>
      <w:pPr>
        <w:pStyle w:val="Heading2"/>
      </w:pPr>
      <w:r>
        <w:rPr>
          <w:b/>
          <w:bCs/>
        </w:rPr>
        <w:t xml:space="preserve">„Předepisování léčivých přípravků, které neobsahují vysoce návykové látky“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Nadpis 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zní:</w:t>
      </w:r>
    </w:p>
    <w:p>
      <w:pPr>
        <w:jc w:val="center"/>
        <w:ind w:left="560" w:right="0"/>
        <w:spacing w:before="700" w:line="192" w:lineRule="auto"/>
      </w:pPr>
      <w:r>
        <w:rPr>
          <w:sz w:val="33.599999999999994"/>
          <w:szCs w:val="33.599999999999994"/>
        </w:rPr>
        <w:t xml:space="preserve">„Rozsah údajů uváděných na receptu a žádance“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se na konci textu písmene b) doplňují slova „ ; je-li to nutné pro jednoznačné určení léčeného zvířete nebo skupiny zvířat, uvedou se další údaje, které jsou pro takové jednoznačné určení nezbytné“.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d) bodě 1 se za slovo „přípravků“ vkládají slova „údajem o velikosti balení 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se za písmeno e) vkládají nová písmena f) až i), která včetně poznámky pod čarou č. 13 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„f)</w:t>
      </w:r>
      <w:r>
        <w:rPr/>
        <w:t xml:space="preserve">	</w:t>
      </w:r>
      <w:r>
        <w:rPr/>
        <w:t xml:space="preserve">slovní vyjádření „Kaskáda“, jde-li o případ předepsání léčivého přípravku, který má být použit podle článku 112, 113 nebo 114 nařízení o veterinárních léčivých přípravcích a v návaznosti na tyto články v souladu se zákonem o léčivech,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slovní vyjádření „Profylaxe“, jde-li o případ předepsání antimikrobního léčivého přípravku, který má být použit pro účely profylaxe,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slovní vyjádření „Metafylaxe“, jde-li o případ předepsání antimikrobního léčivého přípravku, který má být použit pro účely metafylaxe,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délka ochranné lhůty, jde-li o případ předepsání léčivého přípravku, který má být použit u zvířete, které produkuje živočišné produkty určené k výživě člověka, a to pomocí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slovního vyjádření „OL – PI“, jde-li o případ, kdy má být po podání registrovaného veterinárního léčivého přípravku dodržena ochranná lhůta stanovená v souladu s podmínkami jeho registrace,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slovního vyjádření „OL“ doplněného počtem dnů nebo hodin, a to pro příslušné živočišné produkty vyjádřené jako „maso“, „mléko“, „vejce“ nebo „med“, jde-li o případ, kdy nejsou splněny podmínky bodu 1, nebo kdy je nutné ochrannou lhůtu po podání registrovaného veterinárního léčivého přípravku prodloužit,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slovního vyjádření „OL dle pokynu veterinárního lékaře“, jde-li o případ, kdy v době vystavení receptu není možné o délce ochranné lhůty jednoznačně rozhodnout a ochranná lhůta je veterinárním lékařem stanovena následně a je o ní proveden záznam v dokumentaci podle právního předpisu upravujícího předepisování léčivých přípravků při poskytování zdravotních služeb</w:t>
      </w:r>
      <w:hyperlink r:id="rId22" w:history="1">
        <w:r>
          <w:rPr>
            <w:color w:val="darkblue"/>
            <w:u w:val="single"/>
          </w:rPr>
          <w:t xml:space="preserve">11)</w:t>
        </w:r>
      </w:hyperlink>
      <w:r>
        <w:rPr/>
        <w:t xml:space="preserve">; tuto formu vyjádření nelze použít v těch případech, kdy chovatel zvířete, které produkuje živočišné produkty určené k výživě člověka, nevede v souladu s jiným právním předpisem</w:t>
      </w:r>
      <w:r>
        <w:rPr>
          <w:vertAlign w:val="superscript"/>
        </w:rPr>
        <w:t xml:space="preserve">13</w:t>
      </w:r>
      <w:r>
        <w:rPr/>
        <w:t xml:space="preserve">)</w:t>
      </w:r>
      <w:r>
        <w:rPr/>
        <w:t xml:space="preserve"> záznamy o použití léčivého přípravku,</w:t>
      </w:r>
    </w:p>
    <w:p>
      <w:pPr>
        <w:spacing w:after="200"/>
      </w:pPr>
      <w:pPr>
        <w:rPr/>
      </w:pPr>
    </w:p>
    <w:p>
      <w:pPr/>
      <w:r>
        <w:pict>
          <v:shape id="_x0000_s1032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13)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 </w:t>
      </w:r>
      <w:hyperlink r:id="rId23" w:history="1">
        <w:r>
          <w:rPr>
            <w:color w:val="darkblue"/>
            <w:u w:val="single"/>
          </w:rPr>
          <w:t xml:space="preserve">344/2008 Sb.</w:t>
        </w:r>
      </w:hyperlink>
      <w:r>
        <w:rPr>
          <w:sz w:val="19.200000000000003"/>
          <w:szCs w:val="19.200000000000003"/>
        </w:rPr>
        <w:t xml:space="preserve">, o používání, předepisování a výdeji léčivých přípravků při poskytování veterinární péče, ve znění vyhlášky č. </w:t>
      </w:r>
      <w:hyperlink r:id="rId24" w:history="1">
        <w:r>
          <w:rPr>
            <w:color w:val="darkblue"/>
            <w:u w:val="single"/>
          </w:rPr>
          <w:t xml:space="preserve">139/2011 Sb.</w:t>
        </w:r>
      </w:hyperlink>
      <w:r>
        <w:rPr>
          <w:sz w:val="19.200000000000003"/>
          <w:szCs w:val="19.200000000000003"/>
        </w:rPr>
        <w:t xml:space="preserve">“</w:t>
      </w:r>
    </w:p>
    <w:p>
      <w:pPr>
        <w:ind w:left="560" w:right="0"/>
      </w:pPr>
      <w:r>
        <w:rPr/>
        <w:t xml:space="preserve">Dosavadní písmena f) až j) se označují jako písmena j) až n).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písmeno k)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„k)</w:t>
      </w:r>
      <w:r>
        <w:rPr/>
        <w:t xml:space="preserve">	</w:t>
      </w:r>
      <w:r>
        <w:rPr/>
        <w:t xml:space="preserve">otisk razítka obsahujícího identifikační údaje o předepisujícím veterinárním lékaři, a to jméno, případně jména, a příjmení, místo podnikání, případně místo výkonu praxe, identifikační číslo, bylo-li přiděleno, a telefonní číslo; pokud předepisující veterinární lékař vykonává odborné veterinární činnosti</w:t>
      </w:r>
      <w:hyperlink r:id="rId25" w:history="1">
        <w:r>
          <w:rPr>
            <w:color w:val="darkblue"/>
            <w:u w:val="single"/>
          </w:rPr>
          <w:t xml:space="preserve">5)</w:t>
        </w:r>
      </w:hyperlink>
      <w:r>
        <w:rPr/>
        <w:t xml:space="preserve"> jako zaměstnanec fyzické nebo právnické osoby oprávněné vykonávat odborné veterinární činnosti, uvádí se jméno, případně jména, a příjmení předepisujícího veterinárního lékaře, jméno, případně jména, a příjmení, místo podnikání, případně místo výkonu praxe a identifikační číslo jeho zaměstnavatele, jde-li o fyzickou osobu, nebo název, sídlo a identifikační číslo jeho zaměstnavatele, jde-li o právnickou osobu,“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l) se slova „předepisujícího soukromého veterinárního lékaře podle jiného právního předpisu</w:t>
      </w:r>
      <w:r>
        <w:rPr>
          <w:vertAlign w:val="superscript"/>
        </w:rPr>
        <w:t xml:space="preserve">6</w:t>
      </w:r>
      <w:r>
        <w:rPr/>
        <w:t xml:space="preserve">)“ zrušují.</w:t>
      </w:r>
    </w:p>
    <w:p>
      <w:pPr>
        <w:ind w:left="560" w:right="0"/>
      </w:pPr>
      <w:r>
        <w:rPr/>
        <w:t xml:space="preserve">Poznámka pod čarou č. 6 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2 písmeno a)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„a)</w:t>
      </w:r>
      <w:r>
        <w:rPr/>
        <w:t xml:space="preserve">	</w:t>
      </w:r>
      <w:r>
        <w:rPr/>
        <w:t xml:space="preserve">identifikace osoby oprávněné vykonávat odborné veterinární činnosti, a to jméno, případně jména, příjmení, místo podnikání, případně místo výkonu praxe, identifikační číslo, bylo-li přiděleno, a telefonní číslo předepisujícího veterinárního lékaře; pokud veterinární lékař vykonává odborné veterinární činnosti</w:t>
      </w:r>
      <w:hyperlink r:id="rId25" w:history="1">
        <w:r>
          <w:rPr>
            <w:color w:val="darkblue"/>
            <w:u w:val="single"/>
          </w:rPr>
          <w:t xml:space="preserve">5)</w:t>
        </w:r>
      </w:hyperlink>
      <w:r>
        <w:rPr/>
        <w:t xml:space="preserve"> jako zaměstnanec fyzické nebo právnické osoby oprávněné vykonávat odborné veterinární činnosti</w:t>
      </w:r>
      <w:hyperlink r:id="rId25" w:history="1">
        <w:r>
          <w:rPr>
            <w:color w:val="darkblue"/>
            <w:u w:val="single"/>
          </w:rPr>
          <w:t xml:space="preserve">5)</w:t>
        </w:r>
      </w:hyperlink>
      <w:r>
        <w:rPr/>
        <w:t xml:space="preserve">, uvádí se dále jméno, případně jména, příjmení, místo pravidelného poskytování veterinární péče a identifikační číslo jeho zaměstnavatele, jde-li o fyzickou osobu, nebo název, sídlo a identifikační číslo jeho zaměstnavatele, jde-li o právnickou osobu,“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2 písm. c) bodě 1 se za slovo „přípravků“ vkládají slova „údajem o velikosti balení a“ a na konci textu se doplňují slova „ ; není-li údaj o velikosti balení uveden, považuje se za předepsanou velikost balení nejmenší registrované balení pro příslušný léčivý přípravek“.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2 písmeno e)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„e)</w:t>
      </w:r>
      <w:r>
        <w:rPr/>
        <w:t xml:space="preserve">	</w:t>
      </w:r>
      <w:r>
        <w:rPr/>
        <w:t xml:space="preserve">otisk razítka obsahujícího identifikační údaje o předepisujícím veterinárním lékaři, a to jméno, případně jména, a příjmení, místo podnikání, případně místo výkonu praxe, identifikační číslo, bylo-li přiděleno, a telefonní číslo; pokud předepisující veterinární lékař vykonává odborné veterinární činnosti</w:t>
      </w:r>
      <w:hyperlink r:id="rId25" w:history="1">
        <w:r>
          <w:rPr>
            <w:color w:val="darkblue"/>
            <w:u w:val="single"/>
          </w:rPr>
          <w:t xml:space="preserve">5)</w:t>
        </w:r>
      </w:hyperlink>
      <w:r>
        <w:rPr/>
        <w:t xml:space="preserve"> jako zaměstnanec fyzické nebo právnické osoby oprávněné vykonávat odborné veterinární činnosti, uvádí se jméno, případně jména, a příjmení předepisujícího veterinárního lékaře, jméno, případně jména, a příjmení, místo podnikání, případně místo výkonu praxe a identifikační číslo jeho zaměstnavatele, jde-li o fyzickou osobu, nebo název, sídlo a identifikační číslo jeho zaměstnavatele, jde-li o právnickou osobu,“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2 písm. f) se za slovo „lékařů“ vkládají slova „ , je-li předepisujícím veterinárním lékařem soukromý veterinární lékař“ a slova „soukromého veterinárního lékaře, který žádanku vystavil“ se 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7 se text „písm. g)“ nahrazuje textem „písm. k)“.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písm. a) se slova „antibiotiky a antimikrobními chemoterapeutiky“ nahrazují slovem „antimikrobiky“.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se na konci písmene b) tečka nahrazuje středníkem a doplňují se slova „pro recept s předepsaným léčivým přípravkem obsahujícím návykovou látku podle právního předpisu upravujícího zacházení s návykovými látkami</w:t>
      </w:r>
      <w:r>
        <w:rPr>
          <w:vertAlign w:val="superscript"/>
        </w:rPr>
        <w:t xml:space="preserve">8</w:t>
      </w:r>
      <w:r>
        <w:rPr/>
        <w:t xml:space="preserve">), nebo uvedenou látku kategorie 1 podle přímo použitelného předpisu Evropské unie upravujícího prekursory drog</w:t>
      </w:r>
      <w:r>
        <w:rPr>
          <w:vertAlign w:val="superscript"/>
        </w:rPr>
        <w:t xml:space="preserve">9</w:t>
      </w:r>
      <w:r>
        <w:rPr/>
        <w:t xml:space="preserve">), může předepisující veterinární lékař prodloužit platnost receptu nejdéle na 30 dní.“.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na konci textu odstavce 2 doplňují slova „ , neurčí-li předepisující veterinární lékař jinak, přičemž předepisující veterinární lékař může platnost receptu prodloužit nejdéle na 1 rok ode dne následujícího po dni jeho vystavení“.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odstavec 4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Žádanka na léčivé přípravky má platnost 60 dnů počínaje dnem následujícím po dni jejího vystavení.“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odstavec 2 zrušuje.</w:t>
      </w:r>
    </w:p>
    <w:p>
      <w:pPr>
        <w:ind w:left="560" w:right="0"/>
      </w:pPr>
      <w:r>
        <w:rPr/>
        <w:t xml:space="preserve">Dosavadní odstavce 3 až 6 se označují jako odstavce 2 až 5.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odstavec 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Postupem podle </w:t>
      </w:r>
      <w:hyperlink r:id="rId2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4 nelze předepsat léčivý přípravek obsahující návykovou látku podle právního předpisu upravujícího zacházení s návykovými látkami</w:t>
      </w:r>
      <w:hyperlink r:id="rId29" w:history="1">
        <w:r>
          <w:rPr>
            <w:color w:val="darkblue"/>
            <w:u w:val="single"/>
          </w:rPr>
          <w:t xml:space="preserve">8)</w:t>
        </w:r>
      </w:hyperlink>
      <w:r>
        <w:rPr/>
        <w:t xml:space="preserve">, nebo uvedenou látku kategorie 1 podle přímo použitelného předpisu Evropské unie upravujícího prekursory drog</w:t>
      </w:r>
      <w:hyperlink r:id="rId30" w:history="1">
        <w:r>
          <w:rPr>
            <w:color w:val="darkblue"/>
            <w:u w:val="single"/>
          </w:rPr>
          <w:t xml:space="preserve">9)</w:t>
        </w:r>
      </w:hyperlink>
      <w:r>
        <w:rPr/>
        <w:t xml:space="preserve">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3 se za slovo „ani“ vkládá slovo „registrovaný“.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23.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2 písm. a) se slova „antibiotika nebo chemoterapeutika“ nahrazují slovem „antimikrobika“.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24.</w:t>
      </w:r>
      <w:r>
        <w:rPr/>
        <w:t xml:space="preserve">	</w:t>
      </w:r>
      <w:r>
        <w:rPr/>
        <w:t xml:space="preserve">Nad označení </w:t>
      </w:r>
      <w:hyperlink r:id="rId32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se vkládá nadpis, který zní:</w:t>
      </w:r>
    </w:p>
    <w:p>
      <w:pPr>
        <w:pStyle w:val="Heading2"/>
      </w:pPr>
      <w:r>
        <w:rPr>
          <w:b/>
          <w:bCs/>
        </w:rPr>
        <w:t xml:space="preserve">„Předepisování léčivých přípravků s obsahem vysoce návykových látek“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25.</w:t>
      </w:r>
      <w:r>
        <w:rPr/>
        <w:t xml:space="preserve">	</w:t>
      </w:r>
      <w:hyperlink r:id="rId32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včetně nadpisu zní:</w:t>
      </w:r>
    </w:p>
    <w:p>
      <w:pPr>
        <w:pStyle w:val="Heading2"/>
      </w:pPr>
      <w:r>
        <w:rPr>
          <w:b/>
          <w:bCs/>
        </w:rPr>
        <w:t xml:space="preserve">„§ 7</w:t>
      </w:r>
      <w:r>
        <w:rPr>
          <w:rStyle w:val="hidden"/>
        </w:rPr>
        <w:t xml:space="preserve"> -</w:t>
      </w:r>
      <w:br/>
      <w:r>
        <w:rPr/>
        <w:t xml:space="preserve">Předepisování na lékařský předpis s modrým pruhem</w:t>
      </w:r>
    </w:p>
    <w:p>
      <w:pPr>
        <w:ind w:left="560" w:right="0"/>
      </w:pPr>
      <w:r>
        <w:rPr/>
        <w:t xml:space="preserve">Léčivé přípravky, které podle zákona o návykových látkách mohou být vydány pouze na recept s modrým pruhem nebo na žádanku s modrým pruhem, se předepisují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na recept s modrým pruhem podle </w:t>
      </w:r>
      <w:hyperlink r:id="rId14" w:history="1">
        <w:r>
          <w:rPr>
            <w:color w:val="darkblue"/>
            <w:u w:val="single"/>
          </w:rPr>
          <w:t xml:space="preserve">§ 80a</w:t>
        </w:r>
      </w:hyperlink>
      <w:r>
        <w:rPr/>
        <w:t xml:space="preserve"> odst. 1 písm. b) zákona, přičemž při předepisování se vyplňuje první list a 2 průpisy receptu; první list a první průpis je určen pro výdej předepsaného léčivého přípravku v lékárně, druhý průpis se ponechává v bloku použitých receptů,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 žádanku s modrým pruhem podle </w:t>
      </w:r>
      <w:hyperlink r:id="rId14" w:history="1">
        <w:r>
          <w:rPr>
            <w:color w:val="darkblue"/>
            <w:u w:val="single"/>
          </w:rPr>
          <w:t xml:space="preserve">§ 80a</w:t>
        </w:r>
      </w:hyperlink>
      <w:r>
        <w:rPr/>
        <w:t xml:space="preserve"> odst. 1 písm. d) zákona, přičemž při předepisování se vyplňuje první list žádanky a 3 průpisy; první list žádanky a 2 průpisy jsou určeny pro výdej předepsaného léčivého přípravku v lékárně, třetí průpis se ponechává v bloku použitých žádanek.“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26.</w:t>
      </w:r>
      <w:r>
        <w:rPr/>
        <w:t xml:space="preserve">	</w:t>
      </w:r>
      <w:r>
        <w:rPr/>
        <w:t xml:space="preserve">Za </w:t>
      </w:r>
      <w:hyperlink r:id="rId32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se vkládají nové § 7a až 7d, které včetně nadpisů znějí:</w:t>
      </w:r>
    </w:p>
    <w:p>
      <w:pPr>
        <w:pStyle w:val="Heading2"/>
      </w:pPr>
      <w:r>
        <w:rPr>
          <w:b/>
          <w:bCs/>
        </w:rPr>
        <w:t xml:space="preserve">„§ 7a</w:t>
      </w:r>
      <w:r>
        <w:rPr>
          <w:rStyle w:val="hidden"/>
        </w:rPr>
        <w:t xml:space="preserve"> -</w:t>
      </w:r>
      <w:br/>
      <w:r>
        <w:rPr/>
        <w:t xml:space="preserve">Údaje uváděné na lékařském předpisu s modrým pruhem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Na receptu s modrým pruhem se uvádějí údaje podle </w:t>
      </w:r>
      <w:hyperlink r:id="rId2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Na žádance s modrým pruhem se uvádějí údaje podle </w:t>
      </w:r>
      <w:hyperlink r:id="rId2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2.</w:t>
      </w:r>
    </w:p>
    <w:p>
      <w:pPr>
        <w:pStyle w:val="Heading2"/>
      </w:pPr>
      <w:r>
        <w:rPr>
          <w:b/>
          <w:bCs/>
        </w:rPr>
        <w:t xml:space="preserve">§ 7b</w:t>
      </w:r>
      <w:r>
        <w:rPr>
          <w:rStyle w:val="hidden"/>
        </w:rPr>
        <w:t xml:space="preserve"> -</w:t>
      </w:r>
      <w:br/>
      <w:r>
        <w:rPr/>
        <w:t xml:space="preserve">Omezení s ohledem na druh a množství léčivých přípravků pro léčbu zvířat, které lze předepsat na lékařský předpis s modrým pruhem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Na recept s modrým pruhem nebo na žádanku s modrým pruhem lze předepsat pouze takové léčivé přípravky, u kterých to stanoví zákon o návykových látkách.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Na recept s modrým pruhem lze předepsat nejvýše 1 druh léčivého přípravku.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Na žádanku s modrým pruhem lze předepsat nejvýše 5 druhů léčivých přípravků.</w:t>
      </w:r>
    </w:p>
    <w:p>
      <w:pPr>
        <w:pStyle w:val="Heading2"/>
      </w:pPr>
      <w:r>
        <w:rPr>
          <w:b/>
          <w:bCs/>
        </w:rPr>
        <w:t xml:space="preserve">§ 7c</w:t>
      </w:r>
      <w:r>
        <w:rPr>
          <w:rStyle w:val="hidden"/>
        </w:rPr>
        <w:t xml:space="preserve"> -</w:t>
      </w:r>
      <w:br/>
      <w:r>
        <w:rPr/>
        <w:t xml:space="preserve">Doba platnosti lékařského předpisu s modrým pruhem</w:t>
      </w:r>
    </w:p>
    <w:p>
      <w:pPr>
        <w:ind w:left="560" w:right="0"/>
      </w:pPr>
      <w:r>
        <w:rPr/>
        <w:t xml:space="preserve">Recept s modrým pruhem a žádanka s modrým pruhem mají platnost 14 kalendářních dnů počínaje dnem následujícím po dni jejich vystavení, neurčí-li veterinární lékař jinak, nejdéle však 30 dní.</w:t>
      </w:r>
    </w:p>
    <w:p>
      <w:pPr>
        <w:pStyle w:val="Heading2"/>
      </w:pPr>
      <w:r>
        <w:rPr>
          <w:b/>
          <w:bCs/>
        </w:rPr>
        <w:t xml:space="preserve">§ 7d</w:t>
      </w:r>
      <w:r>
        <w:rPr>
          <w:rStyle w:val="hidden"/>
        </w:rPr>
        <w:t xml:space="preserve"> -</w:t>
      </w:r>
      <w:br/>
      <w:r>
        <w:rPr/>
        <w:t xml:space="preserve">Pravidla pro používání lékařských předpisů s modrým pruhem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Pro výrobu a distribuci tiskopisů lékařských předpisů s modrým pruhem a pro postup v případě jejich ztráty nebo odcizení se použijí podmínky stanovené v § 22 právního předpisu upravujícího předepisování léčivých přípravků při poskytování zdravotních služeb</w:t>
      </w:r>
      <w:hyperlink r:id="rId22" w:history="1">
        <w:r>
          <w:rPr>
            <w:color w:val="darkblue"/>
            <w:u w:val="single"/>
          </w:rPr>
          <w:t xml:space="preserve">11)</w:t>
        </w:r>
      </w:hyperlink>
      <w:r>
        <w:rPr/>
        <w:t xml:space="preserve"> obdobně, přičemž oprávněnými osobami se rozumí rovněž provozovatelé oprávnění poskytovat veterinární péči podle </w:t>
      </w:r>
      <w:hyperlink r:id="rId33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d) zákona.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Pro zacházení s recepty s modrým pruhem a žádankami s modrým pruhem oprávněnými osobami uvedenými v odstavci 1 se použijí podmínky stanovené v § 23 právního předpisu upravujícího předepisování léčivých přípravků při poskytování zdravotních služeb</w:t>
      </w:r>
      <w:hyperlink r:id="rId22" w:history="1">
        <w:r>
          <w:rPr>
            <w:color w:val="darkblue"/>
            <w:u w:val="single"/>
          </w:rPr>
          <w:t xml:space="preserve">11)</w:t>
        </w:r>
      </w:hyperlink>
      <w:r>
        <w:rPr/>
        <w:t xml:space="preserve"> obdobně.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Pro recepty s modrým pruhem a žádanky s modrým pruhem se použijí vzory stanovené právním předpisem upravujícím předepisování léčivých přípravků při poskytování zdravotních služeb</w:t>
      </w:r>
      <w:hyperlink r:id="rId22" w:history="1">
        <w:r>
          <w:rPr>
            <w:color w:val="darkblue"/>
            <w:u w:val="single"/>
          </w:rPr>
          <w:t xml:space="preserve">11)</w:t>
        </w:r>
      </w:hyperlink>
      <w:r>
        <w:rPr/>
        <w:t xml:space="preserve">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27.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odstavce 1 až 3 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Medikovaná krmiva se předepisují na předpis, který obsahuje údaje podle přílohy V nařízení o medikovaných krmivech (dále jen „příloha“), přičemž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údaji o veterinárním lékaři podle bodu 1 přílohy se rozumí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jméno, případně jména, a příjmení, místo podnikání, případně místo výkonu praxe, identifikační číslo, bylo-li přiděleno, a telefonní číslo; pokud předepisující veterinární lékař vykonává odborné veterinární činnosti</w:t>
      </w:r>
      <w:hyperlink r:id="rId25" w:history="1">
        <w:r>
          <w:rPr>
            <w:color w:val="darkblue"/>
            <w:u w:val="single"/>
          </w:rPr>
          <w:t xml:space="preserve">5)</w:t>
        </w:r>
      </w:hyperlink>
      <w:r>
        <w:rPr/>
        <w:t xml:space="preserve"> jako zaměstnanec fyzické nebo právnické osoby oprávněné vykonávat odborné veterinární činnosti, uvádí se jméno, případně jména, a příjmení předepisujícího veterinárního lékaře, jméno, případně jména, a příjmení, místo podnikání, případně místo výkonu praxe a identifikační číslo jeho zaměstnavatele, jde-li o fyzickou osobu, nebo název, sídlo a identifikační číslo jeho zaměstnavatele, jde-li o právnickou osobu,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registrační číslo Komory veterinárních lékařů,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jedinečným číslem předpisu podle bodu 2 přílohy se rozumí identifikační číslo osoby oprávněné vykonávat odborné veterinární činnosti následované registračním číslem Komory veterinárních lékařů předepisujícího veterinárního lékaře, následované kalendářním rokem, ve kterém byl předpis vystaven, a pořadovým číslem předpisu v příslušném kalendářním roce,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údaji o chovateli podle bodu 3 přílohy se rozumí,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jde-li o fyzickou osobu, jméno, případně jména, příjmení, adresa místa trvalého pobytu, případně místo pobytu na území České republiky, jde-li o cizince, a telefonní číslo, souhlasí-li chovatel s jeho uvedením,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jde-li o právnickou osobu, název nebo obchodní firma, sídlo a telefonní číslo, souhlasí-li chovatel s jeho uvedením,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jde-li o chovatele, pro kterého je podle jiného právního předpisu</w:t>
      </w:r>
      <w:hyperlink r:id="rId35" w:history="1">
        <w:r>
          <w:rPr>
            <w:color w:val="darkblue"/>
            <w:u w:val="single"/>
          </w:rPr>
          <w:t xml:space="preserve">1)</w:t>
        </w:r>
      </w:hyperlink>
      <w:r>
        <w:rPr/>
        <w:t xml:space="preserve"> stanovena povinnost evidence, dále číslo hospodářství, ve kterém jsou chována zvířata, pro která je předepisované medikované krmivo určeno,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pro účely bodu 7 přílohy se použije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ustanovení </w:t>
      </w:r>
      <w:hyperlink r:id="rId2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f) pro případ předepsání veterinárního léčivého přípravku podle článku 112, 113 nebo 114 nařízení o veterinárních léčivých přípravcích obdobně,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ustanovení </w:t>
      </w:r>
      <w:hyperlink r:id="rId2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h) pro případ předepsání veterinárního léčivého přípravku podle článku 107 odst. 4 nařízení o veterinárních léčivých přípravcích obdobně,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pro účely bodu 12 přílohy se použije ustanovení </w:t>
      </w:r>
      <w:hyperlink r:id="rId2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i) bodu 1 nebo 2 obdobně.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Pro platnost předpisu pro medikované krmivo se použije ustanovení článku 16 odst. 8 nařízení o medikovaných krmivech.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Předpis pro medikované krmivo vypracuje veterinární lékař ve 4 vyhotoveních, z nichž 1 vyhotovení si ponechá, 1 vyhotovení předá chovateli uvedenému v předpisu pro medikované krmivo a 2 vyhotovení předá výrobci medikovaného krmiva. V případě, kdy medikované krmivo nebylo vyrobeno před vystavením předpisu pro medikované krmivo podle článku 8 nařízení o medikovaných krmivech, zajistí výrobce medikovaného krmiva, aby výroba a následná dodávka medikovaného krmiva byly po obdržení platného předpisu pro medikované krmivo realizovány bez zbytečného odkladu.“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28.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4 větě první se číslo „2“ nahrazuje číslem „1“, slovo „distributorovi“ se nahrazuje slovem „dodavateli“ a ve větě druhé se slovo „distribuci“ nahrazuje slovem „dodávku“ a slovo „distributora“ se nahrazuje slovem „dodavatele“.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29.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odstavec 5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Dodavatel medikovaného krmiva, nebo výrobce, který zajišťuje i dodávku medikovaného krmiva, doplní na vyhotovení předpisu, které je pro něj určeno, údaje podle bodu 15 přílohy a při dodávce medikovaného krmiva potvrdí dodávku na vyhotovení předpisu pro medikované krmivo určeném pro chovatele formou podpisu podle bodu 16 přílohy.“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30.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6 větě první části věty před středníkem se slova „3 až 5“ nahrazují slovy „3 a 4“ a ve větě druhé se číslo „2“ nahrazuje číslem „3“.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31.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7 se slovo „distribuci“ nahrazuje slovem „dodávku“, slova „zajišťuje distributor“ se nahrazují slovy „zajišťuje jiný dodavatel“ a slova „zajistit distributor“ se nahrazují slovy „zajistit tento dodavatel“.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33.</w:t>
      </w:r>
      <w:r>
        <w:rPr/>
        <w:t xml:space="preserve">	</w:t>
      </w:r>
      <w:r>
        <w:rPr/>
        <w:t xml:space="preserve">V </w:t>
      </w:r>
      <w:hyperlink r:id="rId36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1 písmeno a)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„a)</w:t>
      </w:r>
      <w:r>
        <w:rPr/>
        <w:t xml:space="preserve">	</w:t>
      </w:r>
      <w:r>
        <w:rPr/>
        <w:t xml:space="preserve">identifikaci chovatele podle </w:t>
      </w:r>
      <w:hyperlink r:id="rId2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a),“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34.</w:t>
      </w:r>
      <w:r>
        <w:rPr/>
        <w:t xml:space="preserve">	</w:t>
      </w:r>
      <w:r>
        <w:rPr/>
        <w:t xml:space="preserve">V </w:t>
      </w:r>
      <w:hyperlink r:id="rId36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1 se písmena b) a c) zrušují.</w:t>
      </w:r>
    </w:p>
    <w:p>
      <w:pPr>
        <w:ind w:left="560" w:right="0"/>
      </w:pPr>
      <w:r>
        <w:rPr/>
        <w:t xml:space="preserve">Dosavadní písmena d) až m) se označují jako písmena b) až k).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35.</w:t>
      </w:r>
      <w:r>
        <w:rPr/>
        <w:t xml:space="preserve">	</w:t>
      </w:r>
      <w:r>
        <w:rPr/>
        <w:t xml:space="preserve">V </w:t>
      </w:r>
      <w:hyperlink r:id="rId36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1 se za písmeno g) vkládá nové písmeno h),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„h)</w:t>
      </w:r>
      <w:r>
        <w:rPr/>
        <w:t xml:space="preserve">	</w:t>
      </w:r>
      <w:r>
        <w:rPr/>
        <w:t xml:space="preserve">kontaktní údaje krajské veterinární správy příslušné k přijetí oznámení podle </w:t>
      </w:r>
      <w:hyperlink r:id="rId12" w:history="1">
        <w:r>
          <w:rPr>
            <w:color w:val="darkblue"/>
            <w:u w:val="single"/>
          </w:rPr>
          <w:t xml:space="preserve">§ 71</w:t>
        </w:r>
      </w:hyperlink>
      <w:r>
        <w:rPr/>
        <w:t xml:space="preserve"> odst. 6 zákona,“</w:t>
      </w:r>
    </w:p>
    <w:p>
      <w:pPr>
        <w:ind w:left="560" w:right="0"/>
      </w:pPr>
      <w:r>
        <w:rPr/>
        <w:t xml:space="preserve">Dosavadní písmena h) až k) se označují jako písmena i) až l).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36.</w:t>
      </w:r>
      <w:r>
        <w:rPr/>
        <w:t xml:space="preserve">	</w:t>
      </w:r>
      <w:r>
        <w:rPr/>
        <w:t xml:space="preserve">V </w:t>
      </w:r>
      <w:hyperlink r:id="rId36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1 písmeno j)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„j)</w:t>
      </w:r>
      <w:r>
        <w:rPr/>
        <w:t xml:space="preserve">	</w:t>
      </w:r>
      <w:r>
        <w:rPr/>
        <w:t xml:space="preserve">otisk razítka obsahujícího údaje o předepisujícím veterinárním lékaři podle </w:t>
      </w:r>
      <w:hyperlink r:id="rId2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k),“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37.</w:t>
      </w:r>
      <w:r>
        <w:rPr/>
        <w:t xml:space="preserve">	</w:t>
      </w:r>
      <w:r>
        <w:rPr/>
        <w:t xml:space="preserve">V </w:t>
      </w:r>
      <w:hyperlink r:id="rId36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1 se za písmeno j) vkládá nové písmeno k),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„k)</w:t>
      </w:r>
      <w:r>
        <w:rPr/>
        <w:t xml:space="preserve">	</w:t>
      </w:r>
      <w:r>
        <w:rPr/>
        <w:t xml:space="preserve">registrační číslo Komory veterinárních lékařů,“</w:t>
      </w:r>
    </w:p>
    <w:p>
      <w:pPr>
        <w:ind w:left="560" w:right="0"/>
      </w:pPr>
      <w:r>
        <w:rPr/>
        <w:t xml:space="preserve">Dosavadní písmena k) a l) se označují jako písmena l) a m).</w:t>
      </w:r>
    </w:p>
    <w:p>
      <w:pPr>
        <w:pStyle w:val="Heading1"/>
      </w:pPr>
      <w:r>
        <w:rPr>
          <w:b/>
          <w:bCs/>
        </w:rPr>
        <w:t xml:space="preserve">Čl. II</w:t>
      </w:r>
    </w:p>
    <w:p>
      <w:pPr>
        <w:ind w:left="0" w:right="0"/>
      </w:pPr>
      <w:r>
        <w:rPr/>
        <w:t xml:space="preserve">Tato vyhláška nabývá účinnosti dnem 1. prosince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Nekula</w:t>
      </w:r>
      <w:r>
        <w:rPr/>
        <w:t xml:space="preserve"> v. r.</w:t>
      </w:r>
    </w:p>
    <w:sectPr>
      <w:headerReference w:type="default" r:id="rId37"/>
      <w:footerReference w:type="default" r:id="rId3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348/2022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0s025" TargetMode="External"/><Relationship Id="rId8" Type="http://schemas.openxmlformats.org/officeDocument/2006/relationships/hyperlink" Target="https://esipa.cz/sbirka/sbsrv.dll/sb?DR=AZ&amp;CP=2007s378-2022s314#P114" TargetMode="External"/><Relationship Id="rId9" Type="http://schemas.openxmlformats.org/officeDocument/2006/relationships/hyperlink" Target="https://esipa.cz/sbirka/sbsrv.dll/sb?DR=SB&amp;CP=2007s378" TargetMode="External"/><Relationship Id="rId10" Type="http://schemas.openxmlformats.org/officeDocument/2006/relationships/hyperlink" Target="https://esipa.cz/sbirka/sbsrv.dll/sb?DR=SB&amp;CP=2013s070" TargetMode="External"/><Relationship Id="rId11" Type="http://schemas.openxmlformats.org/officeDocument/2006/relationships/hyperlink" Target="https://esipa.cz/sbirka/sbsrv.dll/sb?DR=SB&amp;CP=2019s262" TargetMode="External"/><Relationship Id="rId12" Type="http://schemas.openxmlformats.org/officeDocument/2006/relationships/hyperlink" Target="https://esipa.cz/sbirka/sbsrv.dll/sb?DR=AZ&amp;CP=2007s378-2022s314#P71" TargetMode="External"/><Relationship Id="rId13" Type="http://schemas.openxmlformats.org/officeDocument/2006/relationships/hyperlink" Target="https://esipa.cz/sbirka/sbsrv.dll/sb?DR=AZ&amp;CP=2007s378-2022s314#P74" TargetMode="External"/><Relationship Id="rId14" Type="http://schemas.openxmlformats.org/officeDocument/2006/relationships/hyperlink" Target="https://esipa.cz/sbirka/sbsrv.dll/sb?DR=AZ&amp;CP=2007s378-2022s314#P80A" TargetMode="External"/><Relationship Id="rId15" Type="http://schemas.openxmlformats.org/officeDocument/2006/relationships/hyperlink" Target="https://esipa.cz/sbirka/sbsrv.dll/sb?DR=AZ&amp;CP=1998s167-2021s417#P44C" TargetMode="External"/><Relationship Id="rId16" Type="http://schemas.openxmlformats.org/officeDocument/2006/relationships/hyperlink" Target="https://esipa.cz/sbirka/sbsrv.dll/sb?DR=SB&amp;CP=1998s167" TargetMode="External"/><Relationship Id="rId17" Type="http://schemas.openxmlformats.org/officeDocument/2006/relationships/hyperlink" Target="https://esipa.cz/sbirka/sbsrv.dll/sb?DR=SB&amp;CP=2013s273" TargetMode="External"/><Relationship Id="rId18" Type="http://schemas.openxmlformats.org/officeDocument/2006/relationships/hyperlink" Target="https://esipa.cz/sbirka/sbsrv.dll/sb?DR=SB&amp;CP=2021s366" TargetMode="External"/><Relationship Id="rId19" Type="http://schemas.openxmlformats.org/officeDocument/2006/relationships/hyperlink" Target="https://esipa.cz/sbirka/sbsrv.dll/sb?DR=AZ&amp;CP=1998s167-2021s417#P13" TargetMode="External"/><Relationship Id="rId20" Type="http://schemas.openxmlformats.org/officeDocument/2006/relationships/hyperlink" Target="https://esipa.cz/sbirka/sbsrv.dll/sb?DR=SB&amp;CP=2020s025#P1" TargetMode="External"/><Relationship Id="rId21" Type="http://schemas.openxmlformats.org/officeDocument/2006/relationships/hyperlink" Target="https://esipa.cz/sbirka/sbsrv.dll/sb?DR=SB&amp;CP=2020s025#P2" TargetMode="External"/><Relationship Id="rId22" Type="http://schemas.openxmlformats.org/officeDocument/2006/relationships/hyperlink" Target="https://esipa.cz/sbirka/sbsrv.dll/sb?DR=SB&amp;CP=2020s025#note_11" TargetMode="External"/><Relationship Id="rId23" Type="http://schemas.openxmlformats.org/officeDocument/2006/relationships/hyperlink" Target="https://esipa.cz/sbirka/sbsrv.dll/sb?DR=SB&amp;CP=2008s344" TargetMode="External"/><Relationship Id="rId24" Type="http://schemas.openxmlformats.org/officeDocument/2006/relationships/hyperlink" Target="https://esipa.cz/sbirka/sbsrv.dll/sb?DR=SB&amp;CP=2011s139" TargetMode="External"/><Relationship Id="rId25" Type="http://schemas.openxmlformats.org/officeDocument/2006/relationships/hyperlink" Target="https://esipa.cz/sbirka/sbsrv.dll/sb?DR=SB&amp;CP=2020s025#note_5" TargetMode="External"/><Relationship Id="rId26" Type="http://schemas.openxmlformats.org/officeDocument/2006/relationships/hyperlink" Target="https://esipa.cz/sbirka/sbsrv.dll/sb?DR=SB&amp;CP=2020s025#P4" TargetMode="External"/><Relationship Id="rId27" Type="http://schemas.openxmlformats.org/officeDocument/2006/relationships/hyperlink" Target="https://esipa.cz/sbirka/sbsrv.dll/sb?DR=SB&amp;CP=2020s025#P5" TargetMode="External"/><Relationship Id="rId28" Type="http://schemas.openxmlformats.org/officeDocument/2006/relationships/hyperlink" Target="https://esipa.cz/sbirka/sbsrv.dll/sb?DR=AZ&amp;CP=2020s025-2022s348#P2" TargetMode="External"/><Relationship Id="rId29" Type="http://schemas.openxmlformats.org/officeDocument/2006/relationships/hyperlink" Target="https://esipa.cz/sbirka/sbsrv.dll/sb?DR=SB&amp;CP=2020s025#note_8" TargetMode="External"/><Relationship Id="rId30" Type="http://schemas.openxmlformats.org/officeDocument/2006/relationships/hyperlink" Target="https://esipa.cz/sbirka/sbsrv.dll/sb?DR=SB&amp;CP=2020s025#note_9" TargetMode="External"/><Relationship Id="rId31" Type="http://schemas.openxmlformats.org/officeDocument/2006/relationships/hyperlink" Target="https://esipa.cz/sbirka/sbsrv.dll/sb?DR=SB&amp;CP=2020s025#P6" TargetMode="External"/><Relationship Id="rId32" Type="http://schemas.openxmlformats.org/officeDocument/2006/relationships/hyperlink" Target="https://esipa.cz/sbirka/sbsrv.dll/sb?DR=SB&amp;CP=2020s025#P7" TargetMode="External"/><Relationship Id="rId33" Type="http://schemas.openxmlformats.org/officeDocument/2006/relationships/hyperlink" Target="https://esipa.cz/sbirka/sbsrv.dll/sb?DR=AZ&amp;CP=2007s378-2022s314#P6" TargetMode="External"/><Relationship Id="rId34" Type="http://schemas.openxmlformats.org/officeDocument/2006/relationships/hyperlink" Target="https://esipa.cz/sbirka/sbsrv.dll/sb?DR=SB&amp;CP=2020s025#P8" TargetMode="External"/><Relationship Id="rId35" Type="http://schemas.openxmlformats.org/officeDocument/2006/relationships/hyperlink" Target="https://esipa.cz/sbirka/sbsrv.dll/sb?DR=SB&amp;CP=2020s025#note_1" TargetMode="External"/><Relationship Id="rId36" Type="http://schemas.openxmlformats.org/officeDocument/2006/relationships/hyperlink" Target="https://esipa.cz/sbirka/sbsrv.dll/sb?DR=SB&amp;CP=2020s025#P9" TargetMode="External"/><Relationship Id="rId37" Type="http://schemas.openxmlformats.org/officeDocument/2006/relationships/header" Target="header1.xml"/><Relationship Id="rId3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348/2022 Sb. - původní znění</dc:title>
  <dc:description>Vyhláška, kterou se mění vyhláška č. 25/2020 Sb., o předepisování léčivých přípravků při poskytování veterinární péče</dc:description>
  <dc:subject/>
  <cp:keywords/>
  <cp:category/>
  <cp:lastModifiedBy/>
  <dcterms:created xsi:type="dcterms:W3CDTF">2022-12-01T00:00:00+01:00</dcterms:created>
  <dcterms:modified xsi:type="dcterms:W3CDTF">2022-11-23T09:41:52+01:00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