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20. července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prekurzorech výbušnin a o změně souvisejících zákonů (zákon o prekurzorech výbušnin)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Prekurzory výbušnin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Tento zákon upravuje v návaznosti na přímo použitelný předpis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, který stanoví pravidla pro zpřístupňování, dovoz, držení a používání látek nebo směsí zneužitelných k nedovolené výrobě výbušnin (dále jen „přímo použitelný předpis“),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práva a povinnosti osob při zpřístupňování, dovozu, držení a používání látek nebo směsí zneužitelných k nedovolené výrobě výbušnin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působnost správních orgánů při výkonu státní správy podle přímo použitelného předpisu a tohoto zákona.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Zpřístupnění, dovoz, držení a používání prekurzoru výbušnin podléhajícího omezení a dalších zneužitelných látek nebo směsí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Osobě z řad široké veřejnosti se zakazuje dovoz, držení a používání prekurzoru výbušnin podléhajícího omezení podle přímo použitelného předpisu. Každému se zakazuje zpřístupnit prekurzor výbušnin podléhající omezení podle přímo použitelného předpisu osobě z řad široké veřejnosti.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Zákazy podle odstavce 1, jakož i omezení a povinnosti podle přímo použitelného předpisu ve vztahu k prekurzorům výbušnin podléhajícím omezení se vztahují rovněž na látku nebo směs stanovenou v nařízení vlády vydaném podle </w:t>
      </w:r>
      <w:r>
        <w:rPr/>
        <w:t xml:space="preserve">§ 7</w:t>
      </w:r>
      <w:r>
        <w:rPr/>
        <w:t xml:space="preserve"> odst. 1 písm. a).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Povinnosti podle přímo použitelného předpisu ve vztahu k regulovaným prekurzorům výbušnin se vztahují rovněž na látku nebo směs stanovenou v nařízení vlády vydaném podle </w:t>
      </w:r>
      <w:r>
        <w:rPr/>
        <w:t xml:space="preserve">§ 7</w:t>
      </w:r>
      <w:r>
        <w:rPr/>
        <w:t xml:space="preserve"> odst. 1 písm. b).</w:t>
      </w:r>
    </w:p>
    <w:p>
      <w:pPr>
        <w:pStyle w:val="Heading2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Informační povinnost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prokázání zamýšleného používání prekurzoru výbušnin podléhajícího omezení podle čl. 8 odst.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je zákazník povinen použít vzor prohlášení zákazníka uvedený v příloze IV k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Hospodářský subjekt bezodkladně sdělí na výzvu správních orgánů uvedených v </w:t>
      </w:r>
      <w:r>
        <w:rPr/>
        <w:t xml:space="preserve">§ 4</w:t>
      </w:r>
      <w:r>
        <w:rPr/>
        <w:t xml:space="preserve"> informace z jím shromažďovaných údajů podle čl. 8 odst. 4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Správní orgány uvedené v </w:t>
      </w:r>
      <w:r>
        <w:rPr/>
        <w:t xml:space="preserve">§ 4</w:t>
      </w:r>
      <w:r>
        <w:rPr/>
        <w:t xml:space="preserve"> odst. 2 až 4 předávají Českému báňskému úřadu na jeho vyžádání informace nezbytné k podávání zpráv podle čl. 19 a 20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; Generální ředitelství cel pak informace o počtu kontrol provedených celními úřady podle </w:t>
      </w:r>
      <w:r>
        <w:rPr/>
        <w:t xml:space="preserve">§ 4</w:t>
      </w:r>
      <w:r>
        <w:rPr/>
        <w:t xml:space="preserve"> odst. 5 písm. a).</w:t>
      </w:r>
    </w:p>
    <w:p>
      <w:pPr>
        <w:pStyle w:val="Heading2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Výkon státní správy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Český báňský úřad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zastupuje Českou republiku ve Stálém výboru pro prekurzory podle čl. 12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plní úkoly, které pro Českou republiku vyplývají z čl. 10 odst. 2, čl. 12 odst. 2, čl. 14 odst. 4 a 5, čl. 19, čl. 20 odst. 3 a čl. 21 odst.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Obvodní báňské úřady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vykonávají kontrolu dodržování povinností hospodářských subjektů a on-line tržišť při zpřístupňování regulovaných prekurzorů výbušnin hospodářským subjektům a profesionálním uživatelům podle čl. 7 odst. 1 a 3 a čl. 8 odst. 2 až 5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a povinností hospodářských subjektů a on-line tržišť souvisejících s odhalováním a oznamováním podezřelých transakcí a významných zmizení a krádeží podle čl. 9 odst. 1, 2, 4 a 5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, jakož i dodržování týchž povinností ve vztahu k látkám nebo směsím, které jsou stanoveny nařízením vlády podle </w:t>
      </w:r>
      <w:r>
        <w:rPr/>
        <w:t xml:space="preserve">§ 7</w:t>
      </w:r>
      <w:r>
        <w:rPr/>
        <w:t xml:space="preserve"> odst. 1 písm. b),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vykonávají kontrolu zákazu držení a používání prekurzorů výbušnin podléhajících omezení osobami z řad široké veřejnosti, jakož i téhož zákazu ve vztahu k látkám nebo směsím, které jsou stanoveny nařízením vlády podle </w:t>
      </w:r>
      <w:r>
        <w:rPr/>
        <w:t xml:space="preserve">§ 7</w:t>
      </w:r>
      <w:r>
        <w:rPr/>
        <w:t xml:space="preserve"> odst. 1 písm. a).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Policie České republiky přijímá oznámení o podezřelých transakcích, významných zmizeních a krádežích regulovaných prekurzorů výbušnin podle čl. 8 odst. 3 a čl. 9 odst. 3 až 5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a podle </w:t>
      </w:r>
      <w:r>
        <w:rPr/>
        <w:t xml:space="preserve">§ 8</w:t>
      </w:r>
      <w:r>
        <w:rPr/>
        <w:t xml:space="preserve">, jakož i obdobná oznámení od orgánů jiných členských států Evropské unie a informace takto získané poskytuje příslušným orgánům, včetně orgánů jiných členských států Evropské unie, pokud je to nezbytné v zájmu zajištění bezpečnosti; to platí i pro látky nebo směsi, které jsou stanoveny nařízením vlády podle </w:t>
      </w:r>
      <w:r>
        <w:rPr/>
        <w:t xml:space="preserve">§ 7</w:t>
      </w:r>
      <w:r>
        <w:rPr/>
        <w:t xml:space="preserve"> odst. 1.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Česká obchodní inspekce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vykonává kontrolu dodržování zákazu zpřístupňování prekurzorů výbušnin podléhajících omezení osobám z řad široké veřejnosti hospodářskými subjekty podle čl. 5 odst. 1 a 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, jakož i téhož zákazu ve vztahu k látkám nebo směsím, které jsou stanoveny nařízením vlády podle </w:t>
      </w:r>
      <w:r>
        <w:rPr/>
        <w:t xml:space="preserve">§ 7</w:t>
      </w:r>
      <w:r>
        <w:rPr/>
        <w:t xml:space="preserve"> odst. 1 písm. a),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vykonává kontrolu dodržování povinností hospodářských subjektů podle čl. 7 odst.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, jakož i týchž povinností ve vztahu k látkám nebo směsím, které jsou stanoveny nařízením vlády podle </w:t>
      </w:r>
      <w:r>
        <w:rPr/>
        <w:t xml:space="preserve">§ 7</w:t>
      </w:r>
      <w:r>
        <w:rPr/>
        <w:t xml:space="preserve"> odst. 1 písm. b).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Celní úřad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vykonává kontrolu dodržování zákazu dovozu prekurzorů výbušnin podléhajících omezení z jiného než členského státu Evropské unie osobou z řad široké veřejnosti, jakož i téhož zákazu ve vztahu k látkám nebo směsím, které jsou stanoveny nařízením vlády podle </w:t>
      </w:r>
      <w:r>
        <w:rPr/>
        <w:t xml:space="preserve">§ 7</w:t>
      </w:r>
      <w:r>
        <w:rPr/>
        <w:t xml:space="preserve"> odst. 1 písm. 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může zboží zadržet postupem podle celního zákona, má-li důvodné podezření, že se jedná o prekurzor výbušnin podléhající omezení, jehož dovoz z jiného než členského státu Evropské unie osobou z řad široké veřejnosti je zakázán; to platí i pro látky nebo směsi, které jsou stanoveny nařízením vlády podle </w:t>
      </w:r>
      <w:r>
        <w:rPr/>
        <w:t xml:space="preserve">§ 7</w:t>
      </w:r>
      <w:r>
        <w:rPr/>
        <w:t xml:space="preserve"> odst. 1 písm. a),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rozhoduje podle celních předpisů o zničení prekurzoru výbušnin podléhajícího omezení, pokud se jedná o prekurzor výbušnin podléhající omezení, jehož dovoz z jiného než členského státu Evropské unie osobou z řad široké veřejnosti je zakázán; to platí i pro látky nebo směsi, které jsou stanoveny nařízením vlády podle </w:t>
      </w:r>
      <w:r>
        <w:rPr/>
        <w:t xml:space="preserve">§ 7</w:t>
      </w:r>
      <w:r>
        <w:rPr/>
        <w:t xml:space="preserve"> odst. 1 písm. a).</w:t>
      </w:r>
    </w:p>
    <w:p>
      <w:pPr>
        <w:pStyle w:val="Heading2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Přestupky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Osoba z řad široké veřejnosti, profesionální uživatel nebo hospodářský subjekt se dopustí přestupku tím, že v rozporu s čl. 5 odst. 1 nebo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zpřístupní jiné osobě z řad široké veřejnosti prekurzor výbušnin podléhající omezení, nebo zpřístupní jiné osobě z řad široké veřejnosti látku nebo směs, které jsou stanoveny nařízením vlády podle </w:t>
      </w:r>
      <w:r>
        <w:rPr/>
        <w:t xml:space="preserve">§ 7</w:t>
      </w:r>
      <w:r>
        <w:rPr/>
        <w:t xml:space="preserve"> odst. 1 písm. a).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Osoba z řad široké veřejnosti se dopustí přestupku tím,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 rozporu s čl. 5 odst. 1 nebo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doveze, drží nebo použije prekurzor výbušnin podléhající omezení, nebo drží anebo použije látku nebo směs zneužitelnou k nedovolené výrobě výbušnin, které jsou stanoveny nařízením vlády podle </w:t>
      </w:r>
      <w:r>
        <w:rPr/>
        <w:t xml:space="preserve">§ 7</w:t>
      </w:r>
      <w:r>
        <w:rPr/>
        <w:t xml:space="preserve"> odst. 1 písm. a),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 rozporu s </w:t>
      </w:r>
      <w:r>
        <w:rPr/>
        <w:t xml:space="preserve">§ 8</w:t>
      </w:r>
      <w:r>
        <w:rPr/>
        <w:t xml:space="preserve"> neoznámí Policii České republiky významné zmizení nebo krádež prekurzoru výbušnin podléhajícího omezení, který nabyla přede dnem nabytí účinnosti tohoto zákona.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Profesionální uživatel nebo hospodářský subjekt se dopustí přestupku tím, že v rozporu s čl. 9 odst. 5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neohlásí Policii České republiky významné zmizení nebo krádež regulovaného prekurzoru výbušnin,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Hospodářský subjekt se dopustí přestupku tím,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 rozporu s </w:t>
      </w:r>
      <w:r>
        <w:rPr/>
        <w:t xml:space="preserve">§ 3</w:t>
      </w:r>
      <w:r>
        <w:rPr/>
        <w:t xml:space="preserve"> odst. 2 nesdělí příslušnému správnímu orgánu požadované informace,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 rozporu s čl. 7 odst. 1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nesplní informační povinnost,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 rozporu s čl. 7 odst.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nezajistí nebo neprokáže, že zajistil, aby jeho pracovník zapojený do prodeje regulovaných prekurzorů výbušnin byl informován o tom, který výrobek, který zpřístupňuje, obsahuje regulované prekurzory výbušnin, a aby byl poučen o povinnostech podle článků 5 až 9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 rozporu s čl. 8 odst. 2 nebo 3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neověří, že potenciální zákazník je profesionálním uživatelem nebo jiným hospodářským subjektem nebo zda zamýšlené používání odpovídá obchodní činnosti, podnikání nebo profesi potenciálního zákazníka,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v rozporu s čl. 8 odst. 3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neoznámí Policii České republiky transakci nebo pokus o ni,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v rozporu s čl. 9 odst. 1 nebo 4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neoznámí Policii České republiky podezřelou transakci nebo pokus o ni,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 rozporu s čl. 8 odst. 4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neuchovává záznam o provedené transakci s prekurzorem výbušnin podléhajícím omezení ve stanoveném rozsahu nebo po stanovenou dobu,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a),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v rozporu s čl. 9 odst.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nezavede postupy na odhalování podezřelých transakcí,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On-line tržiště se dopustí přestupku tím,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neučiní opatření podle čl. 7 odst. 3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neučiní opatření podle čl. 8 odst. 5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 rozporu s čl. 9 odst. 1 nebo 4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neoznámí Policii České republiky podezřelou transakci nebo pokus o ni,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 rozporu s čl. 9 odst. 2 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/>
        <w:t xml:space="preserve"> nezavede postupy na odhalování podezřelých transakcí, nebo tuto povinnost nesplní ve vztahu k látce nebo směsi, které jsou stanoveny nařízením vlády podle </w:t>
      </w:r>
      <w:r>
        <w:rPr/>
        <w:t xml:space="preserve">§ 7</w:t>
      </w:r>
      <w:r>
        <w:rPr/>
        <w:t xml:space="preserve"> odst. 1 písm. b).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Za přestupek lze uložit pokutu do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100 000 Kč, jde-li o přestupek podle odstavce 2 nebo 3, odstavce 4 písm. a) až c) nebo e) až h) nebo odstavce 5,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1 000 000 Kč, jde-li o přestupek podle odstavce 1 nebo odstavce 4 písm. d).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Za přestupek podle odstavce 1 spáchaný hospodářským subjektem a za přestupek podle odstavce 4 písm. d) lze spolu s pokutou uložit zákaz činnosti spočívající v zákazu zpřístupňování regulovaných prekurzorů výbušnin, jakož i látek nebo směsí, které jsou stanoveny nařízením vlády podle </w:t>
      </w:r>
      <w:r>
        <w:rPr/>
        <w:t xml:space="preserve">§ 7</w:t>
      </w:r>
      <w:r>
        <w:rPr/>
        <w:t xml:space="preserve"> odst. 1.</w:t>
      </w:r>
    </w:p>
    <w:p>
      <w:pPr>
        <w:pStyle w:val="Heading2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Společná ustanovení k přestupkům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Přestupky podle tohoto zákona projednává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obvodní báňský úřad, jde-li o přestupek podle </w:t>
      </w:r>
      <w:r>
        <w:rPr/>
        <w:t xml:space="preserve">§ 5</w:t>
      </w:r>
      <w:r>
        <w:rPr/>
        <w:t xml:space="preserve"> odst. 1 spáchaný osobou z řad široké veřejnosti nebo profesionálním uživatelem, a jde-li o přestupek podle </w:t>
      </w:r>
      <w:r>
        <w:rPr/>
        <w:t xml:space="preserve">§ 5</w:t>
      </w:r>
      <w:r>
        <w:rPr/>
        <w:t xml:space="preserve"> odst. 2 a 3, </w:t>
      </w:r>
      <w:r>
        <w:rPr/>
        <w:t xml:space="preserve">§ 5</w:t>
      </w:r>
      <w:r>
        <w:rPr/>
        <w:t xml:space="preserve"> odst. 4 písm. a), b) a d) až h),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Česká obchodní inspekce, jde-li o jiný přestupek podle tohoto zákona.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Pokuty vybírá orgán, který je uložil.</w:t>
      </w:r>
    </w:p>
    <w:p>
      <w:pPr>
        <w:pStyle w:val="Heading2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Zmocnění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Vláda může nařízením stanovit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látku nebo směs, popřípadě i jejich koncentrace, která je nad rámec prekurzorů výbušnin podléhajících omezení zneužitelná k nedovolené výrobě výbušnin, a to včetně další koncentrace látky nebo směsi již jinak uvedené v příloze I k přímo použitelnému předpisu,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látku nebo směs, popřípadě i jejich koncentrace, která je nad rámec regulovaných prekurzorů výbušnin zneužitelná k nedovolené výrobě výbušnin.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Nařízení podle odstavce 1 lze vydat pouze v případě,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taková látka nebo směs je na území členského státu Evropské unie často zneužívána k nedovolené výrobě výbušnin, nebo se lze důvodně domnívat, že tak bude činěno,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tím nedojde k nepřiměřenému omezení jinak dovolené činnosti s takovou látkou nebo směsí.</w:t>
      </w:r>
    </w:p>
    <w:p>
      <w:pPr>
        <w:pStyle w:val="Heading2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Oznamovací povinnost</w:t>
      </w:r>
    </w:p>
    <w:p>
      <w:pPr>
        <w:ind w:left="0" w:right="0"/>
      </w:pPr>
      <w:r>
        <w:rPr/>
        <w:t xml:space="preserve">Osoba z řad široké veřejnosti je povinna oznámit Policii České republiky významné zmizení nebo krádež prekurzoru výbušnin podléhajícího omezení, který nabyla přede dnem nabytí účinnosti tohoto zákona, a to do 24 hodin od zjištění této skutečnosti.</w:t>
      </w:r>
    </w:p>
    <w:p>
      <w:pPr>
        <w:pStyle w:val="Heading2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Smluvní státy Dohody o Evropském hospodářském prostoru a Švýcarská konfederace</w:t>
      </w:r>
    </w:p>
    <w:p>
      <w:pPr>
        <w:ind w:left="0" w:right="0"/>
      </w:pPr>
      <w:r>
        <w:rPr/>
        <w:t xml:space="preserve">Za členský stát Evropské unie se pro účely tohoto zákona považuje i smluvní stát Dohody o Evropském hospodářském prostoru a Švýcarská konfederace.</w:t>
      </w:r>
    </w:p>
    <w:p>
      <w:pPr>
        <w:pStyle w:val="Heading2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Řízení o přestupku podle zákona č. </w:t>
      </w:r>
      <w:hyperlink r:id="rId8" w:history="1">
        <w:r>
          <w:rPr>
            <w:color w:val="darkblue"/>
            <w:u w:val="single"/>
          </w:rPr>
          <w:t xml:space="preserve">259/2014 Sb.</w:t>
        </w:r>
      </w:hyperlink>
      <w:r>
        <w:rPr/>
        <w:t xml:space="preserve">, které nebylo pravomocně skončeno přede dnem nabytí účinnosti tohoto zákona, se dokončí podle dosavadních právních předpisů.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Řízení o vydání povolení podle </w:t>
      </w:r>
      <w:hyperlink r:id="rId9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259/2014 Sb.</w:t>
        </w:r>
      </w:hyperlink>
      <w:r>
        <w:rPr/>
        <w:t xml:space="preserve">, které nebylo pravomocně skončeno přede dnem nabytí účinnosti tohoto zákona, správní orgán zastaví.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zákona o hornické činnosti, výbušninách a o státní báňské správě</w:t>
      </w:r>
    </w:p>
    <w:p>
      <w:pPr>
        <w:pStyle w:val="Heading2"/>
      </w:pPr>
      <w:r>
        <w:rPr>
          <w:b/>
          <w:bCs/>
        </w:rPr>
        <w:t xml:space="preserve">§ 11</w:t>
      </w:r>
    </w:p>
    <w:p>
      <w:pPr>
        <w:ind w:left="0" w:right="0"/>
      </w:pPr>
      <w:r>
        <w:rPr/>
        <w:t xml:space="preserve">V </w:t>
      </w:r>
      <w:hyperlink r:id="rId10" w:history="1">
        <w:r>
          <w:rPr>
            <w:color w:val="darkblue"/>
            <w:u w:val="single"/>
          </w:rPr>
          <w:t xml:space="preserve">§ 44</w:t>
        </w:r>
      </w:hyperlink>
      <w:r>
        <w:rPr/>
        <w:t xml:space="preserve"> odst. 1 písm. d) a v </w:t>
      </w:r>
      <w:hyperlink r:id="rId11" w:history="1">
        <w:r>
          <w:rPr>
            <w:color w:val="darkblue"/>
            <w:u w:val="single"/>
          </w:rPr>
          <w:t xml:space="preserve">§ 44a</w:t>
        </w:r>
      </w:hyperlink>
      <w:r>
        <w:rPr/>
        <w:t xml:space="preserve"> odst. 1 písm. c) zákona č. </w:t>
      </w:r>
      <w:hyperlink r:id="rId12" w:history="1">
        <w:r>
          <w:rPr>
            <w:color w:val="darkblue"/>
            <w:u w:val="single"/>
          </w:rPr>
          <w:t xml:space="preserve">61/1988 Sb.</w:t>
        </w:r>
      </w:hyperlink>
      <w:r>
        <w:rPr/>
        <w:t xml:space="preserve">, o hornické činnosti, výbušninách a o státní báňské správě, ve znění zákona č. </w:t>
      </w:r>
      <w:hyperlink r:id="rId13" w:history="1">
        <w:r>
          <w:rPr>
            <w:color w:val="darkblue"/>
            <w:u w:val="single"/>
          </w:rPr>
          <w:t xml:space="preserve">376/2007 Sb.</w:t>
        </w:r>
      </w:hyperlink>
      <w:r>
        <w:rPr/>
        <w:t xml:space="preserve">, se slova „anebo sobě nebo jinému opatřuje prostředky k výrobě, výzkumu nebo vývoji výbušnin“ zrušují.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/>
        <w:t xml:space="preserve">Změna zákona o majetku České republiky a jejím vystupování v právních vztazích</w:t>
      </w:r>
    </w:p>
    <w:p>
      <w:pPr>
        <w:pStyle w:val="Heading2"/>
      </w:pPr>
      <w:r>
        <w:rPr>
          <w:b/>
          <w:bCs/>
        </w:rPr>
        <w:t xml:space="preserve">§ 12</w:t>
      </w:r>
    </w:p>
    <w:p>
      <w:pPr>
        <w:ind w:left="0" w:right="0"/>
      </w:pP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 písm. e) zákona č. </w:t>
      </w:r>
      <w:hyperlink r:id="rId15" w:history="1">
        <w:r>
          <w:rPr>
            <w:color w:val="darkblue"/>
            <w:u w:val="single"/>
          </w:rPr>
          <w:t xml:space="preserve">219/2000 Sb.</w:t>
        </w:r>
      </w:hyperlink>
      <w:r>
        <w:rPr/>
        <w:t xml:space="preserve">, o majetku České republiky a jejím vystupování v právních vztazích, ve znění zákona č. </w:t>
      </w:r>
      <w:hyperlink r:id="rId16" w:history="1">
        <w:r>
          <w:rPr>
            <w:color w:val="darkblue"/>
            <w:u w:val="single"/>
          </w:rPr>
          <w:t xml:space="preserve">274/2008 Sb.</w:t>
        </w:r>
      </w:hyperlink>
      <w:r>
        <w:rPr/>
        <w:t xml:space="preserve"> a zákona č. </w:t>
      </w:r>
      <w:hyperlink r:id="rId17" w:history="1">
        <w:r>
          <w:rPr>
            <w:color w:val="darkblue"/>
            <w:u w:val="single"/>
          </w:rPr>
          <w:t xml:space="preserve">51/2016 Sb.</w:t>
        </w:r>
      </w:hyperlink>
      <w:r>
        <w:rPr/>
        <w:t xml:space="preserve">, se slova „a výbušninami,“ nahrazují slovy „ , výbušninami, regulovanými prekurzory výbušnin a dalšími látkami nebo směsmi zneužitelnými k nedovolené výrobě výbušnin</w:t>
      </w:r>
      <w:r>
        <w:rPr>
          <w:vertAlign w:val="superscript"/>
        </w:rPr>
        <w:t xml:space="preserve">97</w:t>
      </w:r>
      <w:r>
        <w:rPr/>
        <w:t xml:space="preserve">)</w:t>
      </w:r>
      <w:r>
        <w:rPr/>
        <w:t xml:space="preserve">,“.</w:t>
      </w:r>
    </w:p>
    <w:p>
      <w:pPr>
        <w:ind w:left="0" w:right="0"/>
      </w:pPr>
      <w:r>
        <w:rPr/>
        <w:t xml:space="preserve">Poznámka pod čarou č. 97 zní:</w:t>
      </w:r>
    </w:p>
    <w:p>
      <w:pPr>
        <w:spacing w:after="200"/>
      </w:pPr>
      <w:pPr>
        <w:rPr/>
      </w:pPr>
    </w:p>
    <w:p>
      <w:pPr/>
      <w:r>
        <w:pict>
          <v:shape id="_x0000_s108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„97)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225/2022 Sb., o prekurzorech výbušnin a o změně souvisejících zákonů (zákon o prekurzorech výbušnin).“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/>
        <w:t xml:space="preserve">Změna zákona o výkonu zajištění majetku a věcí v trestním řízení</w:t>
      </w:r>
    </w:p>
    <w:p>
      <w:pPr>
        <w:pStyle w:val="Heading2"/>
      </w:pPr>
      <w:r>
        <w:rPr>
          <w:b/>
          <w:bCs/>
        </w:rPr>
        <w:t xml:space="preserve">§ 13</w:t>
      </w:r>
    </w:p>
    <w:p>
      <w:pPr>
        <w:ind w:left="0" w:right="0"/>
      </w:pP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3 písm. d) zákona č. </w:t>
      </w:r>
      <w:hyperlink r:id="rId19" w:history="1">
        <w:r>
          <w:rPr>
            <w:color w:val="darkblue"/>
            <w:u w:val="single"/>
          </w:rPr>
          <w:t xml:space="preserve">279/2003 Sb.</w:t>
        </w:r>
      </w:hyperlink>
      <w:r>
        <w:rPr/>
        <w:t xml:space="preserve">, o výkonu zajištění majetku a věcí v trestním řízení a o změně některých zákonů, ve znění zákona č. </w:t>
      </w:r>
      <w:hyperlink r:id="rId20" w:history="1">
        <w:r>
          <w:rPr>
            <w:color w:val="darkblue"/>
            <w:u w:val="single"/>
          </w:rPr>
          <w:t xml:space="preserve">86/2015 Sb.</w:t>
        </w:r>
      </w:hyperlink>
      <w:r>
        <w:rPr/>
        <w:t xml:space="preserve">, se slova „a výbušnin,“ nahrazují slovy „ , výbušnin, regulovaných prekurzorů výbušnin a dalších látek nebo směsí zneužitelných pro výrobu výbušnin,“.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/>
        <w:t xml:space="preserve">Změna zákona o správních poplatcích</w:t>
      </w:r>
    </w:p>
    <w:p>
      <w:pPr>
        <w:pStyle w:val="Heading2"/>
      </w:pPr>
      <w:r>
        <w:rPr>
          <w:b/>
          <w:bCs/>
        </w:rPr>
        <w:t xml:space="preserve">§ 14</w:t>
      </w:r>
    </w:p>
    <w:p>
      <w:pPr>
        <w:ind w:left="0" w:right="0"/>
      </w:pPr>
      <w:r>
        <w:rPr/>
        <w:t xml:space="preserve">V položce 60 přílohy k zákonu č. </w:t>
      </w:r>
      <w:hyperlink r:id="rId21" w:history="1">
        <w:r>
          <w:rPr>
            <w:color w:val="darkblue"/>
            <w:u w:val="single"/>
          </w:rPr>
          <w:t xml:space="preserve">634/2004 Sb.</w:t>
        </w:r>
      </w:hyperlink>
      <w:r>
        <w:rPr/>
        <w:t xml:space="preserve">, o správních poplatcích, ve znění zákona č. </w:t>
      </w:r>
      <w:hyperlink r:id="rId8" w:history="1">
        <w:r>
          <w:rPr>
            <w:color w:val="darkblue"/>
            <w:u w:val="single"/>
          </w:rPr>
          <w:t xml:space="preserve">259/2014 Sb.</w:t>
        </w:r>
      </w:hyperlink>
      <w:r>
        <w:rPr/>
        <w:t xml:space="preserve">, se v bodě 1 písmeno l) zrušuje.</w:t>
      </w:r>
    </w:p>
    <w:p>
      <w:pPr>
        <w:pStyle w:val="Heading1"/>
      </w:pPr>
      <w:r>
        <w:rPr>
          <w:b/>
          <w:bCs/>
          <w:caps/>
        </w:rPr>
        <w:t xml:space="preserve">Část šestá</w:t>
      </w:r>
      <w:r>
        <w:rPr>
          <w:rStyle w:val="hidden"/>
        </w:rPr>
        <w:t xml:space="preserve"> -</w:t>
      </w:r>
      <w:br/>
      <w:r>
        <w:rPr>
          <w:caps/>
        </w:rPr>
        <w:t xml:space="preserve">Zrušovací ustanovení</w:t>
      </w:r>
    </w:p>
    <w:p>
      <w:pPr>
        <w:pStyle w:val="Heading2"/>
      </w:pPr>
      <w:r>
        <w:rPr>
          <w:b/>
          <w:bCs/>
        </w:rPr>
        <w:t xml:space="preserve">§ 15</w:t>
      </w:r>
    </w:p>
    <w:p>
      <w:pPr>
        <w:ind w:left="0" w:right="0"/>
      </w:pPr>
      <w:r>
        <w:rPr/>
        <w:t xml:space="preserve">Zrušují se: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Zákon č. </w:t>
      </w:r>
      <w:hyperlink r:id="rId8" w:history="1">
        <w:r>
          <w:rPr>
            <w:color w:val="darkblue"/>
            <w:u w:val="single"/>
          </w:rPr>
          <w:t xml:space="preserve">259/2014 Sb.</w:t>
        </w:r>
      </w:hyperlink>
      <w:r>
        <w:rPr/>
        <w:t xml:space="preserve">, o prekurzorech výbušnin a o změně zákona č. </w:t>
      </w:r>
      <w:hyperlink r:id="rId21" w:history="1">
        <w:r>
          <w:rPr>
            <w:color w:val="darkblue"/>
            <w:u w:val="single"/>
          </w:rPr>
          <w:t xml:space="preserve">634/2004 Sb.</w:t>
        </w:r>
      </w:hyperlink>
      <w:r>
        <w:rPr/>
        <w:t xml:space="preserve">, o správních poplatcích, ve znění pozdějších předpisů (zákon o prekurzorech výbušnin).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Část dvě stě třicátá první zákona č. </w:t>
      </w:r>
      <w:hyperlink r:id="rId22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kterým se mění některé zákony v souvislosti s přijetím zákona o odpovědnosti za přestupky a řízení o nich a zákona o některých přestupcích.</w:t>
      </w:r>
    </w:p>
    <w:p>
      <w:pPr>
        <w:pStyle w:val="Heading1"/>
      </w:pPr>
      <w:r>
        <w:rPr>
          <w:b/>
          <w:bCs/>
          <w:caps/>
        </w:rPr>
        <w:t xml:space="preserve">Část sedmá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16</w:t>
      </w:r>
    </w:p>
    <w:p>
      <w:pPr>
        <w:ind w:left="0" w:right="0"/>
      </w:pPr>
      <w:r>
        <w:rPr/>
        <w:t xml:space="preserve">Tento zákon nabývá účinnosti patnáctým dnem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Fiala</w:t>
      </w:r>
      <w:r>
        <w:rPr/>
        <w:t xml:space="preserve"> v. r.</w:t>
      </w:r>
    </w:p>
    <w:p>
      <w:pPr>
        <w:spacing w:after="200"/>
      </w:pPr>
      <w:pPr>
        <w:rPr/>
      </w:pPr>
    </w:p>
    <w:p>
      <w:pPr/>
      <w:r>
        <w:pict>
          <v:shape id="_x0000_s111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7" w:history="1">
        <w:r>
          <w:rPr>
            <w:color w:val="darkblue"/>
            <w:u w:val="single"/>
          </w:rPr>
          <w:t xml:space="preserve">(EU) 2019/1148</w:t>
        </w:r>
      </w:hyperlink>
      <w:r>
        <w:rPr>
          <w:sz w:val="19.200000000000003"/>
          <w:szCs w:val="19.200000000000003"/>
        </w:rPr>
        <w:t xml:space="preserve"> ze dne 20. června 2019 o uvádění prekurzorů výbušnin na trh a o jejich používání, změně nařízení </w:t>
      </w:r>
      <w:hyperlink r:id="rId23" w:history="1">
        <w:r>
          <w:rPr>
            <w:color w:val="darkblue"/>
            <w:u w:val="single"/>
          </w:rPr>
          <w:t xml:space="preserve">(ES) č. 1907/2006</w:t>
        </w:r>
      </w:hyperlink>
      <w:r>
        <w:rPr>
          <w:sz w:val="19.200000000000003"/>
          <w:szCs w:val="19.200000000000003"/>
        </w:rPr>
        <w:t xml:space="preserve"> a zrušení nařízení </w:t>
      </w:r>
      <w:hyperlink r:id="rId24" w:history="1">
        <w:r>
          <w:rPr>
            <w:color w:val="darkblue"/>
            <w:u w:val="single"/>
          </w:rPr>
          <w:t xml:space="preserve">(EU) č. 98/2013</w:t>
        </w:r>
      </w:hyperlink>
      <w:r>
        <w:rPr>
          <w:sz w:val="19.200000000000003"/>
          <w:szCs w:val="19.200000000000003"/>
        </w:rPr>
        <w:t xml:space="preserve">.</w:t>
      </w:r>
    </w:p>
    <w:sectPr>
      <w:headerReference w:type="default" r:id="rId25"/>
      <w:footerReference w:type="default" r:id="rId2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225/2022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32019R1148" TargetMode="External"/><Relationship Id="rId8" Type="http://schemas.openxmlformats.org/officeDocument/2006/relationships/hyperlink" Target="https://esipa.cz/sbirka/sbsrv.dll/sb?DR=SB&amp;CP=2014s259" TargetMode="External"/><Relationship Id="rId9" Type="http://schemas.openxmlformats.org/officeDocument/2006/relationships/hyperlink" Target="https://esipa.cz/sbirka/sbsrv.dll/sb?DR=AZ&amp;CP=2014s259-2017s183#C01_P004" TargetMode="External"/><Relationship Id="rId10" Type="http://schemas.openxmlformats.org/officeDocument/2006/relationships/hyperlink" Target="https://esipa.cz/sbirka/sbsrv.dll/sb?DR=AZ&amp;CP=1988s061-2021s261#P44" TargetMode="External"/><Relationship Id="rId11" Type="http://schemas.openxmlformats.org/officeDocument/2006/relationships/hyperlink" Target="https://esipa.cz/sbirka/sbsrv.dll/sb?DR=AZ&amp;CP=1988s061-2021s261#P44A" TargetMode="External"/><Relationship Id="rId12" Type="http://schemas.openxmlformats.org/officeDocument/2006/relationships/hyperlink" Target="https://esipa.cz/sbirka/sbsrv.dll/sb?DR=SB&amp;CP=1988s061" TargetMode="External"/><Relationship Id="rId13" Type="http://schemas.openxmlformats.org/officeDocument/2006/relationships/hyperlink" Target="https://esipa.cz/sbirka/sbsrv.dll/sb?DR=SB&amp;CP=2007s376" TargetMode="External"/><Relationship Id="rId14" Type="http://schemas.openxmlformats.org/officeDocument/2006/relationships/hyperlink" Target="https://esipa.cz/sbirka/sbsrv.dll/sb?DR=AZ&amp;CP=2000s219-2021s261#P11" TargetMode="External"/><Relationship Id="rId15" Type="http://schemas.openxmlformats.org/officeDocument/2006/relationships/hyperlink" Target="https://esipa.cz/sbirka/sbsrv.dll/sb?DR=SB&amp;CP=2000s219" TargetMode="External"/><Relationship Id="rId16" Type="http://schemas.openxmlformats.org/officeDocument/2006/relationships/hyperlink" Target="https://esipa.cz/sbirka/sbsrv.dll/sb?DR=SB&amp;CP=2008s274" TargetMode="External"/><Relationship Id="rId17" Type="http://schemas.openxmlformats.org/officeDocument/2006/relationships/hyperlink" Target="https://esipa.cz/sbirka/sbsrv.dll/sb?DR=SB&amp;CP=2016s051" TargetMode="External"/><Relationship Id="rId18" Type="http://schemas.openxmlformats.org/officeDocument/2006/relationships/hyperlink" Target="https://esipa.cz/sbirka/sbsrv.dll/sb?DR=AZ&amp;CP=2003s279-2017s055#C01_H03_P009" TargetMode="External"/><Relationship Id="rId19" Type="http://schemas.openxmlformats.org/officeDocument/2006/relationships/hyperlink" Target="https://esipa.cz/sbirka/sbsrv.dll/sb?DR=SB&amp;CP=2003s279" TargetMode="External"/><Relationship Id="rId20" Type="http://schemas.openxmlformats.org/officeDocument/2006/relationships/hyperlink" Target="https://esipa.cz/sbirka/sbsrv.dll/sb?DR=SB&amp;CP=2015s086" TargetMode="External"/><Relationship Id="rId21" Type="http://schemas.openxmlformats.org/officeDocument/2006/relationships/hyperlink" Target="https://esipa.cz/sbirka/sbsrv.dll/sb?DR=SB&amp;CP=2004s634" TargetMode="External"/><Relationship Id="rId22" Type="http://schemas.openxmlformats.org/officeDocument/2006/relationships/hyperlink" Target="https://esipa.cz/sbirka/sbsrv.dll/sb?DR=SB&amp;CP=2017s183" TargetMode="External"/><Relationship Id="rId23" Type="http://schemas.openxmlformats.org/officeDocument/2006/relationships/hyperlink" Target="https://esipa.cz/sbirka/sbsrv.dll/sb?DR=SB&amp;CP=32006R1907" TargetMode="External"/><Relationship Id="rId24" Type="http://schemas.openxmlformats.org/officeDocument/2006/relationships/hyperlink" Target="https://esipa.cz/sbirka/sbsrv.dll/sb?DR=SB&amp;CP=32013R0098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225/2022 Sb. - původní znění</dc:title>
  <dc:description>Zákon o prekurzorech výbušnin a o změně souvisejících zákonů (zákon o prekurzorech výbušnin)</dc:description>
  <dc:subject/>
  <cp:keywords/>
  <cp:category/>
  <cp:lastModifiedBy/>
  <dcterms:created xsi:type="dcterms:W3CDTF">2022-08-20T00:00:00+02:00</dcterms:created>
  <dcterms:modified xsi:type="dcterms:W3CDTF">2024-04-18T09:00:13+02:00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