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29. června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236/2015 Sb.</w:t>
        </w:r>
      </w:hyperlink>
      <w:r>
        <w:rPr>
          <w:b/>
          <w:bCs/>
        </w:rPr>
        <w:t xml:space="preserve">, o stanovení podmínek pro předepisování, přípravu, distribuci, výdej a používání individuálně připravovaných léčivých přípravků s obsahem konopí pro léčebné použití, ve znění vyhlášky č. </w:t>
      </w:r>
      <w:hyperlink r:id="rId8" w:history="1">
        <w:r>
          <w:rPr>
            <w:color w:val="darkblue"/>
            <w:u w:val="single"/>
          </w:rPr>
          <w:t xml:space="preserve">307/2020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zdravotnictví a Ministerstvo zemědělství stanoví podle </w:t>
      </w:r>
      <w:hyperlink r:id="rId9" w:history="1">
        <w:r>
          <w:rPr>
            <w:color w:val="darkblue"/>
            <w:u w:val="single"/>
          </w:rPr>
          <w:t xml:space="preserve">§ 114</w:t>
        </w:r>
      </w:hyperlink>
      <w:r>
        <w:rPr/>
        <w:t xml:space="preserve"> odst. 1 a 2 zákona č. </w:t>
      </w:r>
      <w:hyperlink r:id="rId10" w:history="1">
        <w:r>
          <w:rPr>
            <w:color w:val="darkblue"/>
            <w:u w:val="single"/>
          </w:rPr>
          <w:t xml:space="preserve">378/2007 Sb.</w:t>
        </w:r>
      </w:hyperlink>
      <w:r>
        <w:rPr/>
        <w:t xml:space="preserve">, o léčivech a o změnách některých souvisejících zákonů (zákon o léčivech), ve znění zákona č. </w:t>
      </w:r>
      <w:hyperlink r:id="rId11" w:history="1">
        <w:r>
          <w:rPr>
            <w:color w:val="darkblue"/>
            <w:u w:val="single"/>
          </w:rPr>
          <w:t xml:space="preserve">50/2013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70/2013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66/2017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44/2019 Sb.</w:t>
        </w:r>
      </w:hyperlink>
      <w:r>
        <w:rPr/>
        <w:t xml:space="preserve"> a zákona č. </w:t>
      </w:r>
      <w:hyperlink r:id="rId15" w:history="1">
        <w:r>
          <w:rPr>
            <w:color w:val="darkblue"/>
            <w:u w:val="single"/>
          </w:rPr>
          <w:t xml:space="preserve">262/2019 Sb.</w:t>
        </w:r>
      </w:hyperlink>
      <w:r>
        <w:rPr/>
        <w:t xml:space="preserve">, a podle </w:t>
      </w:r>
      <w:hyperlink r:id="rId16" w:history="1">
        <w:r>
          <w:rPr>
            <w:color w:val="darkblue"/>
            <w:u w:val="single"/>
          </w:rPr>
          <w:t xml:space="preserve">§ 44c</w:t>
        </w:r>
      </w:hyperlink>
      <w:r>
        <w:rPr/>
        <w:t xml:space="preserve"> odst. 5 zákona č. </w:t>
      </w:r>
      <w:hyperlink r:id="rId17" w:history="1">
        <w:r>
          <w:rPr>
            <w:color w:val="darkblue"/>
            <w:u w:val="single"/>
          </w:rPr>
          <w:t xml:space="preserve">167/1998 Sb.</w:t>
        </w:r>
      </w:hyperlink>
      <w:r>
        <w:rPr/>
        <w:t xml:space="preserve">, o návykových látkách a o změně některých dalších zákonů, ve znění zákona č. </w:t>
      </w:r>
      <w:hyperlink r:id="rId18" w:history="1">
        <w:r>
          <w:rPr>
            <w:color w:val="darkblue"/>
            <w:u w:val="single"/>
          </w:rPr>
          <w:t xml:space="preserve">273/2013 Sb.</w:t>
        </w:r>
      </w:hyperlink>
      <w:r>
        <w:rPr/>
        <w:t xml:space="preserve"> a zákona č. </w:t>
      </w:r>
      <w:hyperlink r:id="rId19" w:history="1">
        <w:r>
          <w:rPr>
            <w:color w:val="darkblue"/>
            <w:u w:val="single"/>
          </w:rPr>
          <w:t xml:space="preserve">366/2021 Sb.</w:t>
        </w:r>
      </w:hyperlink>
      <w:r>
        <w:rPr/>
        <w:t xml:space="preserve">, k provedení </w:t>
      </w:r>
      <w:hyperlink r:id="rId20" w:history="1">
        <w:r>
          <w:rPr>
            <w:color w:val="darkblue"/>
            <w:u w:val="single"/>
          </w:rPr>
          <w:t xml:space="preserve">§ 77</w:t>
        </w:r>
      </w:hyperlink>
      <w:r>
        <w:rPr/>
        <w:t xml:space="preserve"> odst. 1 písm. g), </w:t>
      </w:r>
      <w:hyperlink r:id="rId21" w:history="1">
        <w:r>
          <w:rPr>
            <w:color w:val="darkblue"/>
            <w:u w:val="single"/>
          </w:rPr>
          <w:t xml:space="preserve">§ 79</w:t>
        </w:r>
      </w:hyperlink>
      <w:r>
        <w:rPr/>
        <w:t xml:space="preserve"> odst. 2, </w:t>
      </w:r>
      <w:hyperlink r:id="rId21" w:history="1">
        <w:r>
          <w:rPr>
            <w:color w:val="darkblue"/>
            <w:u w:val="single"/>
          </w:rPr>
          <w:t xml:space="preserve">§ 79</w:t>
        </w:r>
      </w:hyperlink>
      <w:r>
        <w:rPr/>
        <w:t xml:space="preserve"> odst. 8 písm. a), </w:t>
      </w:r>
      <w:hyperlink r:id="rId22" w:history="1">
        <w:r>
          <w:rPr>
            <w:color w:val="darkblue"/>
            <w:u w:val="single"/>
          </w:rPr>
          <w:t xml:space="preserve">§ 79a</w:t>
        </w:r>
      </w:hyperlink>
      <w:r>
        <w:rPr/>
        <w:t xml:space="preserve"> odst. 1 a 4 a </w:t>
      </w:r>
      <w:hyperlink r:id="rId23" w:history="1">
        <w:r>
          <w:rPr>
            <w:color w:val="darkblue"/>
            <w:u w:val="single"/>
          </w:rPr>
          <w:t xml:space="preserve">§ 80</w:t>
        </w:r>
      </w:hyperlink>
      <w:r>
        <w:rPr/>
        <w:t xml:space="preserve"> zákona o léčivech a </w:t>
      </w:r>
      <w:hyperlink r:id="rId2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a </w:t>
      </w:r>
      <w:hyperlink r:id="rId25" w:history="1">
        <w:r>
          <w:rPr>
            <w:color w:val="darkblue"/>
            <w:u w:val="single"/>
          </w:rPr>
          <w:t xml:space="preserve">§ 24a</w:t>
        </w:r>
      </w:hyperlink>
      <w:r>
        <w:rPr/>
        <w:t xml:space="preserve"> zákona o návykových látkách: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236/2015 Sb.</w:t>
        </w:r>
      </w:hyperlink>
      <w:r>
        <w:rPr/>
        <w:t xml:space="preserve">, o stanovení podmínek pro předepisování, přípravu, distribuci, výdej a používání individuálně připravovaných léčivých přípravků s obsahem konopí pro léčebné použití, ve znění vyhlášky č. </w:t>
      </w:r>
      <w:hyperlink r:id="rId8" w:history="1">
        <w:r>
          <w:rPr>
            <w:color w:val="darkblue"/>
            <w:u w:val="single"/>
          </w:rPr>
          <w:t xml:space="preserve">307/2020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1 se za slova „léčebné použití a“ vkládají slova „extraktu z konopí pro léčebné použití“.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Tato vyhláška dále upravuje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metody výroby extraktu z konopí pro léčebné použití,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použité analytické metody testování účinných látek extraktu z konopí pro léčebné použití,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označování a skladování extraktu z konopí pro léčebné použití, jakož i způsob jeho zpracování coby suroviny při přípravě individuálně připravovaných léčivých přípravků podle zákona o léčivech,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podmínky stanovené pro použití konopí pro léčebné použití pro přípravu individuálně připravovaného léčivého přípravku s obsahem konopí pro léčebné použití.“</w:t>
      </w:r>
    </w:p>
    <w:p>
      <w:pPr>
        <w:ind w:left="560" w:right="0"/>
      </w:pPr>
      <w:r>
        <w:rPr/>
        <w:t xml:space="preserve">Dosavadní odstavec 2 se označuje jako odstavec 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za slova „k této vyhlášce“ vkládají slova „nebo extrakt z druhů konopí pro léčebné použití stanovených v příloze č. 6 k této vyhlášce“ a na konci odstavce se doplňuje věta „Pro účely výpočtu množstevního omezení platí, že 1 g extraktu z konopí pro léčebné použití je vyroben ze 7 g usušené rostlinné drogy.“.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za odstavec 1 vkládá 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Při používání individuálně připravovaných léčivých přípravků s obsahem konopí pro léčebné použití v rámci poskytování lůžkové zdravotní péče, připravených na základě žádanky s modrým pruhem, je povinností ošetřujícího lékaře zajistit dodržení množstevního omezení konopí pro léčebné použití u hospitalizovaného pacienta, které činí maximálně 6 g usušené rostlinné drogy nebo 6/7 g extraktu z konopí pro léčebné použití za jeden den.“</w:t>
      </w:r>
    </w:p>
    <w:p>
      <w:pPr>
        <w:ind w:left="560" w:right="0"/>
      </w:pPr>
      <w:r>
        <w:rPr/>
        <w:t xml:space="preserve">Dosavadní odstavce 2 a 3 se označují jako odstavce 3 a 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na konci textu odstavce 3 doplňují slova „nebo extrakt z konopí pro léčebné použití, který splňuje kritéria podle přílohy č. 5 k této vyhlášce“.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 se za slova „léčebné použití“ vkládají slova „a extraktu z konopí pro léčebné použití“.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 se na konci písmene c) tečka nahrazuje čárkou a doplňuje se 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na analytickém certifikátu podle písmen b) a c) musí být uvedeny tyto údaje: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použitá rostlinná droga (Cannabis sativa/Cannabis indica),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typ extraktu, popřípadě že se jedná o čištěný extrakt,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deklarovaný obsah THC a CBD,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název rozpouštědla použitého k extrakci,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název a množství pomocných látek přítomných v extraktu,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podmínky skladování a doba použitelnosti.“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Nadpis </w:t>
      </w:r>
      <w:hyperlink r:id="rId28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zní: „</w:t>
      </w:r>
      <w:r>
        <w:rPr>
          <w:b/>
          <w:bCs/>
        </w:rPr>
        <w:t xml:space="preserve">Značení konopí pro léčebné použití a extraktu z konopí pro léčebné použití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 se text „</w:t>
      </w:r>
      <w:hyperlink r:id="rId27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3“ nahrazuje textem „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4“ a na konci odstavce se doplňuje věta „Extrakt z konopí pro léčebné použití určený pro přípravu individuálně připravovaného léčivého přípravku s obsahem konopí pro léčebné použití musí být na obalu označen kódem extraktu konopí pro léčebné použití podle přílohy č. 6 k této vyhlášce odpovídajícím procentuálnímu obsahu delta-9-tetrahydrocannabinolu a cannabidiolu uvedenému v dokladu o ověření jakosti léčivé látky podle 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4, typem extraktu podle přílohy č. 5 k této vyhlášce, názvem rozpouštědla použitého k extrakci, názvem a množstvím pomocných látek přítomných v extraktu, informacemi o podmínkách skladování a dobou použitelnosti.“.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se za slova „elektronickém receptu“ vkládají slova „s označením ‚vysoce návyková látka‘“ a na konci textu odstavce se doplňují slova „nebo kód extraktu z konopí pro léčebné použití uvedený v příloze č. 6 k této vyhlášce. Pokud předepisující lékař uvede kód extraktu z konopí pro léčebné použití, je povinen uvést celkové množství extraktu použité při přípravě individuálně připravovaného léčivého přípravku s obsahem konopí pro léčebné použití a typ extraktu podle přílohy č. 5 k této vyhlášce“.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na konci odstavce 4 doplňují slova „s označením ‚vysoce návyková látka‘“.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doplňují odstavce 5 a 6,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Při poskytování lůžkové péče může ošetřující lékař indikovat písemným záznamem do zdravotnické dokumentace pacienta použití léčivého přípravku s obsahem konopí pro hospitalizovaného pacienta v souladu s 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2. Podmínkou pro tuto indikaci je specializovaná způsobilost ošetřujícího lékaře stanovená v příloze č. 3 k této vyhlášce, nebo písemné doporučení lékaře se specializovanou způsobilostí stanovenou v příloze č. 3 k této vyhlášce, který před hospitalizací poskytoval pacientovi specializovanou ambulantní péči, v rámci které mu předepisoval individuálně připravovaný léčivý přípravek s obsahem konopí pro léčebné použití v souladu s touto vyhláškou, anebo na základě písemného doporučení konzultujícího lékaře se specializovanou způsobilostí stanovenou v příloze č. 3 k této vyhlášce v průběhu hospitalizace. Doporučení lékaře se specializovanou způsobilostí musí být nejpozději v den vystavení žádanky s modrým pruhem založeno ve zdravotnické dokumentaci pacienta.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Individuálně připravovaný léčivý přípravek s obsahem konopí pro léčebné použití pro hospitalizovaného pacienta lze v lékárně připravit pouze na základě žádanky s modrým pruhem, a to za splnění podmínky, že množství konopí pro léčebné použití v jedné jednotce předepsané lékové formy nepřekročí množstevní limit podle 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se za slova „elektronický recept“ vkládají slova „s označením ‚vysoce návyková látka‘“ a na konci textu odstavce se doplňují slova „nebo na žádanku s modrým pruhem v rámci poskytování lůžkové zdravotní péče podle zákona o návykových látkách v souladu s </w:t>
      </w:r>
      <w:hyperlink r:id="rId32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a 6“.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se za slova „léčebné použití“ vkládají slova „nebo extrakt z konopí pro léčebné použití“, slovo „jehož“ se nahrazuje slovem „jejichž“ a slova „minimálně 0,3 % a“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Pro přípravu a výdej individuálně připravovaného léčivého přípravku s obsahem konopí pro léčebné použití na základě elektronického receptu s označením „vysoce návyková látka“ nebo na základě žádanky s modrým pruhem lze použít pouze konopí pro léčebné použití, jehož skutečný procentuální obsah delta-9-tetrahydrocannabinolu a cannabidiolu odpovídá kódu podle přílohy č. 1 k této vyhlášce, nebo extrakt z konopí pro léčebné použití, jehož skutečný procentuální obsah delta-9-tetrahy-drocannabinolu a cannabidiolu odpovídá kódu podle přílohy č. 6 k této vyhlášce a který je uveden předepisujícím lékařem na elektronickém receptu s označením „vysoce návyková látka“ nebo na žádance s modrým pruhem.“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4 se za slova „elektronického receptu“ vkládají slova „s označením ‚vysoce návyková látka‘ nebo na žádance s modrým pruhem“ a za slova „elektronický recept“ se vkládají slova „s označením ‚vysoce návyková látka‘ nebo na žádanku s modrým pruhem“.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 se za slova „elektronického receptu“ vkládají slova „s označením ‚vysoce návyková látka‘ nebo na žádanku s modrým pruhem“, za text „č. 1“ se vkládají slova „nebo přílohy č. 6“ a za slova „na elektronickém receptu“ se vkládají slova „s označením ‚vysoce návyková látka‘ nebo na žádance s modrým pruhem“.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33" w:history="1">
        <w:r>
          <w:rPr>
            <w:color w:val="darkblue"/>
            <w:u w:val="single"/>
          </w:rPr>
          <w:t xml:space="preserve">§ 5a</w:t>
        </w:r>
      </w:hyperlink>
      <w:r>
        <w:rPr/>
        <w:t xml:space="preserve"> odst. 2 písm. b) se na konci textu bodu 1 doplňují slova „a kód extraktu z konopí pro léčebné použití podle přílohy č. 6 k této vyhlášce“.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33" w:history="1">
        <w:r>
          <w:rPr>
            <w:color w:val="darkblue"/>
            <w:u w:val="single"/>
          </w:rPr>
          <w:t xml:space="preserve">§ 5a</w:t>
        </w:r>
      </w:hyperlink>
      <w:r>
        <w:rPr/>
        <w:t xml:space="preserve"> odst. 2 písm. b) se na konci textu bodu 3 doplňují slova „a předepsané celkové množství extraktu z konopí pro léčebné použití za dané období podle přílohy č. 6 k této vyhlášce“.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Za </w:t>
      </w:r>
      <w:hyperlink r:id="rId33" w:history="1">
        <w:r>
          <w:rPr>
            <w:color w:val="darkblue"/>
            <w:u w:val="single"/>
          </w:rPr>
          <w:t xml:space="preserve">§ 5a</w:t>
        </w:r>
      </w:hyperlink>
      <w:r>
        <w:rPr/>
        <w:t xml:space="preserve"> se vkládá nový </w:t>
      </w:r>
      <w:hyperlink r:id="rId34" w:history="1">
        <w:r>
          <w:rPr>
            <w:color w:val="darkblue"/>
            <w:u w:val="single"/>
          </w:rPr>
          <w:t xml:space="preserve">§ 5b</w:t>
        </w:r>
      </w:hyperlink>
      <w:r>
        <w:rPr/>
        <w:t xml:space="preserve">, který včetně nadpisu zní:</w:t>
      </w:r>
    </w:p>
    <w:p>
      <w:pPr>
        <w:pStyle w:val="Heading2"/>
      </w:pPr>
      <w:r>
        <w:rPr>
          <w:b/>
          <w:bCs/>
        </w:rPr>
        <w:t xml:space="preserve">„§ 5b</w:t>
      </w:r>
      <w:r>
        <w:rPr>
          <w:rStyle w:val="hidden"/>
        </w:rPr>
        <w:t xml:space="preserve"> -</w:t>
      </w:r>
      <w:br/>
      <w:r>
        <w:rPr/>
        <w:t xml:space="preserve">Výroba extraktu z konopí pro léčebné použití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K výrobě extraktu z konopí pro léčebné použití lze použít pouze konopí pro léčebné použití určené pro přípravu individuálně připravovaného léčivého přípravku.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Použité analytické metody testování účinných látek v extraktu z konopí pro léčebné použití stanoví příloha č. 5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příloze č. 1 se text „THC 0,3 % ≤ 4 %“ nahrazuje textem „THC ≤ 4 %“ a text „0,3 % THC ≤ 4 %“ se nahrazuje textem „THC ≤ 4 %“.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Doplňují se přílohy č. 5 a 6, které 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5 k vyhlášce č. 236/2015 Sb.</w:t>
      </w:r>
      <w:r>
        <w:rPr>
          <w:rStyle w:val="hidden"/>
        </w:rPr>
        <w:t xml:space="preserve"> -</w:t>
      </w:r>
      <w:br/>
      <w:r>
        <w:rPr/>
        <w:t xml:space="preserve">Analytické metody testování účinných látek v extraktu z konopí pro léčebné použití</w:t>
      </w:r>
    </w:p>
    <w:p>
      <w:pPr>
        <w:ind w:left="560" w:right="0"/>
      </w:pPr>
      <w:r>
        <w:rPr/>
        <w:t xml:space="preserve">Extrakt z konopí pro léčebné použití</w:t>
      </w:r>
    </w:p>
    <w:p>
      <w:pPr>
        <w:ind w:left="560" w:right="0"/>
      </w:pPr>
      <w:r>
        <w:rPr/>
        <w:t xml:space="preserve">(EXTRAKT Z KONOPNÉHO KVĚTU STANDARDIZOVANÝ*, Cannabis floris extractum normatum)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	</w:t>
      </w:r>
      <w:r>
        <w:rPr>
          <w:i/>
          <w:iCs/>
        </w:rPr>
        <w:t xml:space="preserve">* Pro konkrétní extrakt musí být název dále rozšířen o typ extraktu (tekutý extrakt, tinktura, hustý extrakt, suchý extrakt)</w:t>
      </w:r>
    </w:p>
    <w:p>
      <w:pPr>
        <w:ind w:left="900" w:right="0"/>
      </w:pPr>
      <w:r>
        <w:rPr/>
        <w:t xml:space="preserve">Splňuje požadavky obecného článku ČL/Ph.Eur. Extrakty z rostlinných drog (Plantarum medicinalium extracta) pro daný typ extraktu, kterým je tekutý extrakt, tinktura, hustý extrakt, nebo suchý extrakt a další testy: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Parametr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Metoda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Limit</w:t>
            </w:r>
          </w:p>
        </w:tc>
      </w:tr>
      <w:tr>
        <w:trPr/>
        <w:tc>
          <w:tcPr/>
          <w:p>
            <w:pPr/>
            <w:r>
              <w:rPr/>
              <w:t xml:space="preserve">Vzhled</w:t>
            </w:r>
          </w:p>
        </w:tc>
        <w:tc>
          <w:tcPr/>
          <w:p>
            <w:pPr/>
            <w:r>
              <w:rPr/>
              <w:t xml:space="preserve">vizuálně</w:t>
            </w:r>
          </w:p>
        </w:tc>
        <w:tc>
          <w:tcPr/>
          <w:p>
            <w:pPr/>
            <w:r>
              <w:rPr/>
              <w:t xml:space="preserve">podle specifikace daného extraktu</w:t>
            </w:r>
          </w:p>
        </w:tc>
      </w:tr>
      <w:tr>
        <w:trPr/>
        <w:tc>
          <w:tcPr/>
          <w:p>
            <w:pPr/>
            <w:r>
              <w:rPr/>
              <w:t xml:space="preserve">Totožnost</w:t>
            </w:r>
          </w:p>
        </w:tc>
        <w:tc>
          <w:tcPr/>
          <w:p>
            <w:pPr/>
            <w:r>
              <w:rPr/>
              <w:t xml:space="preserve">HPLC</w:t>
            </w:r>
            <w:r>
              <w:rPr>
                <w:vertAlign w:val="superscript"/>
              </w:rPr>
              <w:t xml:space="preserve">1)</w:t>
            </w:r>
            <w:r>
              <w:rPr/>
              <w:t xml:space="preserve">– ČL</w:t>
            </w:r>
            <w:r>
              <w:rPr>
                <w:vertAlign w:val="superscript"/>
              </w:rPr>
              <w:t xml:space="preserve">2)</w:t>
            </w:r>
            <w:r>
              <w:rPr/>
              <w:t xml:space="preserve">/ Ph.Eur</w:t>
            </w:r>
            <w:r>
              <w:rPr>
                <w:vertAlign w:val="superscript"/>
              </w:rPr>
              <w:t xml:space="preserve">3)</w:t>
            </w:r>
            <w:r>
              <w:rPr/>
              <w:t xml:space="preserve">. 2.2.27, 2.2.29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Zkoušky na čistotu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Zkoušky dle požadavků ČL/Ph.Eur. pro daný typ extraktu </w:t>
            </w:r>
          </w:p>
        </w:tc>
        <w:tc>
          <w:tcPr/>
          <w:p>
            <w:pPr/>
            <w:r>
              <w:rPr/>
              <w:t xml:space="preserve">ČL/Ph.Eur. 0765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Zbytky pesticidů**</w:t>
            </w:r>
          </w:p>
        </w:tc>
        <w:tc>
          <w:tcPr/>
          <w:p>
            <w:pPr/>
            <w:r>
              <w:rPr/>
              <w:t xml:space="preserve">ČL/Ph.Eur. 2.8.13</w:t>
            </w:r>
          </w:p>
        </w:tc>
        <w:tc>
          <w:tcPr/>
          <w:p>
            <w:pPr/>
            <w:r>
              <w:rPr/>
              <w:t xml:space="preserve">odpovídá limitům uvedeným v Ph.Eur. 2.8.13</w:t>
            </w:r>
          </w:p>
        </w:tc>
      </w:tr>
      <w:tr>
        <w:trPr/>
        <w:tc>
          <w:tcPr/>
          <w:p>
            <w:pPr/>
            <w:r>
              <w:rPr/>
              <w:t xml:space="preserve">Těžké kovy**</w:t>
            </w:r>
          </w:p>
        </w:tc>
        <w:tc>
          <w:tcPr/>
          <w:p>
            <w:pPr/>
            <w:r>
              <w:rPr/>
              <w:t xml:space="preserve">ČL 2.4.27</w:t>
            </w:r>
          </w:p>
        </w:tc>
        <w:tc>
          <w:tcPr/>
          <w:p>
            <w:pPr/>
            <w:r>
              <w:rPr/>
              <w:t xml:space="preserve">Pb - max. 5,0 µg/g </w:t>
            </w:r>
            <w:br/>
            <w:r>
              <w:rPr/>
              <w:t xml:space="preserve">Cd - max. 1,0 µg/g </w:t>
            </w:r>
            <w:br/>
            <w:r>
              <w:rPr/>
              <w:t xml:space="preserve">Hg - max. 0,1 µg/g</w:t>
            </w:r>
          </w:p>
        </w:tc>
      </w:tr>
      <w:tr>
        <w:trPr/>
        <w:tc>
          <w:tcPr/>
          <w:p>
            <w:pPr/>
            <w:r>
              <w:rPr/>
              <w:t xml:space="preserve">Aflatoxiny** </w:t>
            </w:r>
            <w:br/>
            <w:r>
              <w:rPr/>
              <w:t xml:space="preserve">- Aflatoxin B</w:t>
            </w:r>
            <w:r>
              <w:rPr>
                <w:vertAlign w:val="subscript"/>
              </w:rPr>
              <w:t xml:space="preserve">1</w:t>
            </w:r>
            <w:br/>
            <w:r>
              <w:rPr/>
              <w:t xml:space="preserve">- celkový obsah aflatoxinů</w:t>
            </w:r>
            <w:r>
              <w:rPr/>
              <w:t xml:space="preserve">B</w:t>
            </w:r>
            <w:r>
              <w:rPr>
                <w:vertAlign w:val="subscript"/>
              </w:rPr>
              <w:t xml:space="preserve">1</w:t>
            </w:r>
            <w:r>
              <w:rPr/>
              <w:t xml:space="preserve">, B</w:t>
            </w:r>
            <w:r>
              <w:rPr>
                <w:vertAlign w:val="subscript"/>
              </w:rPr>
              <w:t xml:space="preserve">2</w:t>
            </w:r>
            <w:r>
              <w:rPr/>
              <w:t xml:space="preserve">, G</w:t>
            </w:r>
            <w:r>
              <w:rPr>
                <w:vertAlign w:val="subscript"/>
              </w:rPr>
              <w:t xml:space="preserve">1</w:t>
            </w:r>
            <w:r>
              <w:rPr/>
              <w:t xml:space="preserve">a G</w:t>
            </w:r>
            <w:r>
              <w:rPr>
                <w:vertAlign w:val="subscript"/>
              </w:rPr>
              <w:t xml:space="preserve">2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ČL/Ph.Eur. 2.8.18</w:t>
            </w:r>
          </w:p>
        </w:tc>
        <w:tc>
          <w:tcPr/>
          <w:p>
            <w:pPr/>
            <w:br/>
            <w:r>
              <w:rPr/>
              <w:t xml:space="preserve"> max. 2 µg/kg </w:t>
            </w:r>
            <w:br/>
            <w:r>
              <w:rPr/>
              <w:t xml:space="preserve">max. 4 µg/kg</w:t>
            </w:r>
          </w:p>
        </w:tc>
      </w:tr>
      <w:tr>
        <w:trPr/>
        <w:tc>
          <w:tcPr/>
          <w:p>
            <w:pPr/>
            <w:r>
              <w:rPr/>
              <w:t xml:space="preserve">Mikrobiologická jakost ČL/Ph.Eur. 5.1.4 </w:t>
            </w:r>
            <w:br/>
            <w:r>
              <w:rPr/>
              <w:t xml:space="preserve">- TAMC</w:t>
            </w:r>
            <w:r>
              <w:rPr>
                <w:vertAlign w:val="superscript"/>
              </w:rPr>
              <w:t xml:space="preserve">4)</w:t>
            </w:r>
            <w:r>
              <w:rPr/>
              <w:t xml:space="preserve"> </w:t>
            </w:r>
            <w:br/>
            <w:br/>
            <w:r>
              <w:rPr/>
              <w:t xml:space="preserve">- TYMC</w:t>
            </w:r>
            <w:r>
              <w:rPr>
                <w:vertAlign w:val="superscript"/>
              </w:rPr>
              <w:t xml:space="preserve">5)</w:t>
            </w:r>
            <w:r>
              <w:rPr/>
              <w:t xml:space="preserve"> </w:t>
            </w:r>
            <w:br/>
            <w:br/>
            <w:r>
              <w:rPr/>
              <w:t xml:space="preserve">- Escherichia coli </w:t>
            </w:r>
            <w:br/>
            <w:br/>
            <w:r>
              <w:rPr/>
              <w:t xml:space="preserve">- Staphylococcus aureus </w:t>
            </w:r>
            <w:br/>
            <w:br/>
            <w:r>
              <w:rPr/>
              <w:t xml:space="preserve">- Pseudomonas aeruginosa </w:t>
            </w:r>
            <w:br/>
            <w:br/>
            <w:r>
              <w:rPr/>
              <w:t xml:space="preserve">- Žluč tolerující gramnegativní bakterie </w:t>
            </w:r>
            <w:br/>
            <w:r>
              <w:rPr/>
              <w:t xml:space="preserve">- Salmonella</w:t>
            </w:r>
          </w:p>
        </w:tc>
        <w:tc>
          <w:tcPr/>
          <w:p>
            <w:pPr/>
            <w:r>
              <w:rPr/>
              <w:t xml:space="preserve">ČL/Ph.Eur 2.6.12 a 2.6.13</w:t>
            </w:r>
          </w:p>
        </w:tc>
        <w:tc>
          <w:tcPr/>
          <w:p>
            <w:pPr/>
            <w:br/>
            <w:br/>
            <w:r>
              <w:rPr/>
              <w:t xml:space="preserve">max. 10</w:t>
            </w:r>
            <w:r>
              <w:rPr>
                <w:vertAlign w:val="superscript"/>
              </w:rPr>
              <w:t xml:space="preserve">2</w:t>
            </w:r>
            <w:r>
              <w:rPr/>
              <w:t xml:space="preserve">CFU</w:t>
            </w:r>
            <w:r>
              <w:rPr>
                <w:vertAlign w:val="superscript"/>
              </w:rPr>
              <w:t xml:space="preserve">6)</w:t>
            </w:r>
            <w:r>
              <w:rPr/>
              <w:t xml:space="preserve">/1 g </w:t>
            </w:r>
            <w:br/>
            <w:r>
              <w:rPr/>
              <w:t xml:space="preserve">nebo v 1 ml </w:t>
            </w:r>
            <w:br/>
            <w:r>
              <w:rPr/>
              <w:t xml:space="preserve">max. 10</w:t>
            </w:r>
            <w:r>
              <w:rPr>
                <w:vertAlign w:val="superscript"/>
              </w:rPr>
              <w:t xml:space="preserve">1</w:t>
            </w:r>
            <w:r>
              <w:rPr/>
              <w:t xml:space="preserve">CFU/1 g nebo v 1 ml </w:t>
            </w:r>
            <w:br/>
            <w:r>
              <w:rPr/>
              <w:t xml:space="preserve">nepřítomnost (v 1 g nebo v 1 ml) </w:t>
            </w:r>
            <w:br/>
            <w:r>
              <w:rPr/>
              <w:t xml:space="preserve">nepřítomnost (v 1 g nebo v 1 ml) </w:t>
            </w:r>
            <w:br/>
            <w:r>
              <w:rPr/>
              <w:t xml:space="preserve">nepřítomnost (v 1 g nebo v 1 ml) </w:t>
            </w:r>
            <w:br/>
            <w:r>
              <w:rPr/>
              <w:t xml:space="preserve">nepřítomnost (v 1 g nebo v 1 ml) </w:t>
            </w:r>
            <w:br/>
            <w:r>
              <w:rPr/>
              <w:t xml:space="preserve">nepřítomnost (v 10 g nebo v 10 ml)</w:t>
            </w:r>
          </w:p>
        </w:tc>
      </w:tr>
      <w:tr>
        <w:trPr/>
        <w:tc>
          <w:tcPr/>
          <w:p>
            <w:pPr/>
            <w:r>
              <w:rPr/>
              <w:t xml:space="preserve">Rozkladné produkty </w:t>
            </w:r>
            <w:br/>
            <w:r>
              <w:rPr/>
              <w:t xml:space="preserve">- Kanabinol / Cannabinol </w:t>
            </w:r>
          </w:p>
        </w:tc>
        <w:tc>
          <w:tcPr/>
          <w:p>
            <w:pPr/>
            <w:r>
              <w:rPr/>
              <w:t xml:space="preserve">HPLC – ČL / Ph.Eur. 2.2.29</w:t>
            </w:r>
          </w:p>
        </w:tc>
        <w:tc>
          <w:tcPr/>
          <w:p>
            <w:pPr/>
            <w:r>
              <w:rPr/>
              <w:t xml:space="preserve"> max. 2,5 %</w:t>
            </w:r>
          </w:p>
        </w:tc>
      </w:tr>
      <w:tr>
        <w:trPr/>
        <w:tc>
          <w:tcPr/>
          <w:p>
            <w:pPr/>
            <w:r>
              <w:rPr/>
              <w:t xml:space="preserve">Olejové extrakty nebo extrakty s obsahem oleje </w:t>
            </w:r>
            <w:br/>
            <w:r>
              <w:rPr/>
              <w:t xml:space="preserve">- Číslo kyselosti </w:t>
            </w:r>
            <w:br/>
            <w:r>
              <w:rPr/>
              <w:t xml:space="preserve">- Číslo peroxidové</w:t>
            </w:r>
            <w:br/>
          </w:p>
        </w:tc>
        <w:tc>
          <w:tcPr/>
          <w:p>
            <w:pPr/>
            <w:br/>
            <w:br/>
            <w:br/>
            <w:r>
              <w:rPr/>
              <w:t xml:space="preserve">ČL/Ph.Eur. 2.5.1 </w:t>
            </w:r>
            <w:br/>
            <w:r>
              <w:rPr/>
              <w:t xml:space="preserve">ČL/Ph.Eur. 2.5.5 </w:t>
            </w:r>
          </w:p>
        </w:tc>
        <w:tc>
          <w:tcPr/>
          <w:p>
            <w:pPr/>
            <w:br/>
            <w:br/>
            <w:r>
              <w:rPr/>
              <w:t xml:space="preserve">dle charakteru použitého oleje</w:t>
            </w:r>
          </w:p>
        </w:tc>
      </w:tr>
      <w:tr>
        <w:trPr/>
        <w:tc>
          <w:tcPr/>
          <w:p>
            <w:pPr/>
            <w:r>
              <w:rPr/>
              <w:t xml:space="preserve">Obsah - THC</w:t>
            </w:r>
            <w:r>
              <w:rPr>
                <w:vertAlign w:val="superscript"/>
              </w:rPr>
              <w:t xml:space="preserve">7)</w:t>
            </w:r>
            <w:r>
              <w:rPr/>
              <w:t xml:space="preserve">- CBD</w:t>
            </w:r>
            <w:r>
              <w:rPr>
                <w:vertAlign w:val="superscript"/>
              </w:rPr>
              <w:t xml:space="preserve">8)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HPLC – ČL/Ph.Eur. 2.2.29</w:t>
            </w:r>
          </w:p>
        </w:tc>
        <w:tc>
          <w:tcPr/>
          <w:p>
            <w:pPr/>
            <w:r>
              <w:rPr/>
              <w:t xml:space="preserve">dle kódu extraktu z konopí pro léčebné použití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	</w:t>
      </w:r>
      <w:r>
        <w:rPr>
          <w:i/>
          <w:iCs/>
        </w:rPr>
        <w:t xml:space="preserve">** testování není nutné v případě, že výchozí droga použitá k výrobě extraktu splňuje požadavky uvedené ve vyhlášce </w:t>
      </w:r>
      <w:hyperlink r:id="rId7" w:history="1">
        <w:r>
          <w:rPr>
            <w:color w:val="darkblue"/>
            <w:u w:val="single"/>
          </w:rPr>
          <w:t xml:space="preserve">236/2015 Sb.</w:t>
        </w:r>
      </w:hyperlink>
    </w:p>
    <w:p>
      <w:pPr>
        <w:ind w:left="560" w:right="0"/>
      </w:pPr>
      <w:r>
        <w:rPr/>
        <w:t xml:space="preserve">Vysvětlivky: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1)</w:t>
      </w:r>
      <w:r>
        <w:rPr/>
        <w:t xml:space="preserve">	</w:t>
      </w:r>
      <w:r>
        <w:rPr/>
        <w:t xml:space="preserve">Vysokoúčinná kapalinová chromatografie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2)</w:t>
      </w:r>
      <w:r>
        <w:rPr/>
        <w:t xml:space="preserve">	</w:t>
      </w:r>
      <w:r>
        <w:rPr/>
        <w:t xml:space="preserve">Český lékopis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3)</w:t>
      </w:r>
      <w:r>
        <w:rPr/>
        <w:t xml:space="preserve">	</w:t>
      </w:r>
      <w:r>
        <w:rPr/>
        <w:t xml:space="preserve">Evropský lékopis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4)</w:t>
      </w:r>
      <w:r>
        <w:rPr/>
        <w:t xml:space="preserve">	</w:t>
      </w:r>
      <w:r>
        <w:rPr/>
        <w:t xml:space="preserve">Celkový počet aerobních mikroorganismů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5)</w:t>
      </w:r>
      <w:r>
        <w:rPr/>
        <w:t xml:space="preserve">	</w:t>
      </w:r>
      <w:r>
        <w:rPr/>
        <w:t xml:space="preserve">Celkový počet kvasinek/plísní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6)</w:t>
      </w:r>
      <w:r>
        <w:rPr/>
        <w:t xml:space="preserve">	</w:t>
      </w:r>
      <w:r>
        <w:rPr/>
        <w:t xml:space="preserve">Kolonie tvořící jednotka/y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7)</w:t>
      </w:r>
      <w:r>
        <w:rPr/>
        <w:t xml:space="preserve">	</w:t>
      </w:r>
      <w:r>
        <w:rPr/>
        <w:t xml:space="preserve">Tetrahydrokanabinol / tetrahydrocannabinol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8)</w:t>
      </w:r>
      <w:r>
        <w:rPr/>
        <w:t xml:space="preserve">	</w:t>
      </w:r>
      <w:r>
        <w:rPr/>
        <w:t xml:space="preserve">Kanabidiol / cannabidiol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6 k vyhlášce č. 236/2015 Sb.</w:t>
      </w:r>
      <w:r>
        <w:rPr>
          <w:rStyle w:val="hidden"/>
        </w:rPr>
        <w:t xml:space="preserve"> -</w:t>
      </w:r>
      <w:br/>
      <w:r>
        <w:rPr/>
        <w:t xml:space="preserve">Druhy extraktu z konopí pro léčebné použití</w:t>
      </w:r>
    </w:p>
    <w:tbl>
      <w:tblGrid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Kód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Druh extraktu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Rozmezí THC</w:t>
            </w:r>
            <w:r>
              <w:rPr>
                <w:b/>
                <w:bCs/>
                <w:vertAlign w:val="superscript"/>
              </w:rPr>
              <w:t xml:space="preserve">a)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Rozmezí CBD</w:t>
            </w:r>
            <w:r>
              <w:rPr>
                <w:b/>
                <w:bCs/>
                <w:vertAlign w:val="superscript"/>
              </w:rPr>
              <w:t xml:space="preserve">b)</w:t>
            </w:r>
          </w:p>
        </w:tc>
      </w:tr>
      <w:tr>
        <w:trPr/>
        <w:tc>
          <w:tcPr/>
          <w:p>
            <w:pPr/>
            <w:r>
              <w:rPr/>
              <w:t xml:space="preserve">9311000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9312000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9313000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9314000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7,5 % ≤ CBD &lt; 23 %</w:t>
            </w:r>
          </w:p>
        </w:tc>
      </w:tr>
      <w:tr>
        <w:trPr/>
        <w:tc>
          <w:tcPr/>
          <w:p>
            <w:pPr/>
            <w:r>
              <w:rPr/>
              <w:t xml:space="preserve">9321000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9322000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9323000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9324000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9331000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9332000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9333000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9334000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9341000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9342000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9343000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9344000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9351000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9352000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9353000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9354000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9361000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9362000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9363000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9364000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9371000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9372000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9373000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9374000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9381000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9382000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9383000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9384000</w:t>
            </w:r>
          </w:p>
        </w:tc>
        <w:tc>
          <w:tcPr/>
          <w:p>
            <w:pPr/>
            <w:r>
              <w:rPr/>
              <w:t xml:space="preserve">Cannabis sativae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9411000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9412000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9413000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9414000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25 % ≥ THC &gt; 21 %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9421000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9422000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9423000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9424000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21 % ≥ THC &gt; 18 %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9431000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9432000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9433000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9434000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18 % ≥ THC &gt; 15 %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9441000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9442000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9443000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9444000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15 % ≥ THC &gt; 12 %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9451000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9452000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9453000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9454000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12 % ≥ THC &gt; 9 %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9461000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9462000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9463000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9464000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9 % ≥ THC &gt; 7 %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  <w:tr>
        <w:trPr/>
        <w:tc>
          <w:tcPr/>
          <w:p>
            <w:pPr/>
            <w:r>
              <w:rPr/>
              <w:t xml:space="preserve">9471000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9472000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9473000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9474000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  <w:tc>
          <w:tcPr/>
          <w:p>
            <w:pPr/>
            <w:r>
              <w:rPr/>
              <w:t xml:space="preserve">7 % ≥ THC &gt; 4 %</w:t>
            </w:r>
          </w:p>
        </w:tc>
      </w:tr>
      <w:tr>
        <w:trPr/>
        <w:tc>
          <w:tcPr/>
          <w:p>
            <w:pPr/>
            <w:r>
              <w:rPr/>
              <w:t xml:space="preserve">9481000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CBD &lt; 1 %</w:t>
            </w:r>
          </w:p>
        </w:tc>
      </w:tr>
      <w:tr>
        <w:trPr/>
        <w:tc>
          <w:tcPr/>
          <w:p>
            <w:pPr/>
            <w:r>
              <w:rPr/>
              <w:t xml:space="preserve">9482000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1 % ≤ CBD &lt; 5 %</w:t>
            </w:r>
          </w:p>
        </w:tc>
      </w:tr>
      <w:tr>
        <w:trPr/>
        <w:tc>
          <w:tcPr/>
          <w:p>
            <w:pPr/>
            <w:r>
              <w:rPr/>
              <w:t xml:space="preserve">9483000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5 % ≤ CBD &lt; 7,5 %</w:t>
            </w:r>
          </w:p>
        </w:tc>
      </w:tr>
      <w:tr>
        <w:trPr/>
        <w:tc>
          <w:tcPr/>
          <w:p>
            <w:pPr/>
            <w:r>
              <w:rPr/>
              <w:t xml:space="preserve">9484000</w:t>
            </w:r>
          </w:p>
        </w:tc>
        <w:tc>
          <w:tcPr/>
          <w:p>
            <w:pPr/>
            <w:r>
              <w:rPr/>
              <w:t xml:space="preserve">Cannabis indicae extractum</w:t>
            </w:r>
          </w:p>
        </w:tc>
        <w:tc>
          <w:tcPr/>
          <w:p>
            <w:pPr/>
            <w:r>
              <w:rPr/>
              <w:t xml:space="preserve">THC ≤ 4 %</w:t>
            </w:r>
          </w:p>
        </w:tc>
        <w:tc>
          <w:tcPr/>
          <w:p>
            <w:pPr/>
            <w:r>
              <w:rPr/>
              <w:t xml:space="preserve">7,5 % ≤ CBD ≤ 23 %</w:t>
            </w:r>
          </w:p>
        </w:tc>
      </w:tr>
    </w:tbl>
    <w:p>
      <w:pPr>
        <w:ind w:left="560" w:right="0"/>
      </w:pPr>
      <w:r>
        <w:rPr/>
        <w:t xml:space="preserve">Vysvětlivky: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Rozmezí procentuálního obsahu delta-9-tetrahydrocannabinolu pro daný kód.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Rozmezí procentuálního obsahu cannabidiolu pro daný kód.“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Technický předpis</w:t>
      </w:r>
    </w:p>
    <w:p>
      <w:pPr>
        <w:ind w:left="0" w:right="0"/>
      </w:pPr>
      <w:r>
        <w:rPr/>
        <w:t xml:space="preserve">Tato vyhláška byla oznámena v souladu se směrnicí Evropského parlamentu a Rady </w:t>
      </w:r>
      <w:hyperlink r:id="rId35" w:history="1">
        <w:r>
          <w:rPr>
            <w:color w:val="darkblue"/>
            <w:u w:val="single"/>
          </w:rPr>
          <w:t xml:space="preserve">(EU) č. 2015/1535</w:t>
        </w:r>
      </w:hyperlink>
      <w:r>
        <w:rPr/>
        <w:t xml:space="preserve"> ze dne 9. září 2015 o postupu při poskytování informací v oblasti technických předpisů a předpisů pro služby informační společnosti.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patnáctým dnem po jejím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sectPr>
      <w:headerReference w:type="default" r:id="rId36"/>
      <w:footerReference w:type="default" r:id="rId3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219/2022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5s236" TargetMode="External"/><Relationship Id="rId8" Type="http://schemas.openxmlformats.org/officeDocument/2006/relationships/hyperlink" Target="https://esipa.cz/sbirka/sbsrv.dll/sb?DR=SB&amp;CP=2020s307" TargetMode="External"/><Relationship Id="rId9" Type="http://schemas.openxmlformats.org/officeDocument/2006/relationships/hyperlink" Target="https://esipa.cz/sbirka/sbsrv.dll/sb?DR=AZ&amp;CP=2007s378-2021s261#P114" TargetMode="External"/><Relationship Id="rId10" Type="http://schemas.openxmlformats.org/officeDocument/2006/relationships/hyperlink" Target="https://esipa.cz/sbirka/sbsrv.dll/sb?DR=SB&amp;CP=2007s378" TargetMode="External"/><Relationship Id="rId11" Type="http://schemas.openxmlformats.org/officeDocument/2006/relationships/hyperlink" Target="https://esipa.cz/sbirka/sbsrv.dll/sb?DR=SB&amp;CP=2013s050" TargetMode="External"/><Relationship Id="rId12" Type="http://schemas.openxmlformats.org/officeDocument/2006/relationships/hyperlink" Target="https://esipa.cz/sbirka/sbsrv.dll/sb?DR=SB&amp;CP=2013s070" TargetMode="External"/><Relationship Id="rId13" Type="http://schemas.openxmlformats.org/officeDocument/2006/relationships/hyperlink" Target="https://esipa.cz/sbirka/sbsrv.dll/sb?DR=SB&amp;CP=2017s066" TargetMode="External"/><Relationship Id="rId14" Type="http://schemas.openxmlformats.org/officeDocument/2006/relationships/hyperlink" Target="https://esipa.cz/sbirka/sbsrv.dll/sb?DR=SB&amp;CP=2019s044" TargetMode="External"/><Relationship Id="rId15" Type="http://schemas.openxmlformats.org/officeDocument/2006/relationships/hyperlink" Target="https://esipa.cz/sbirka/sbsrv.dll/sb?DR=SB&amp;CP=2019s262" TargetMode="External"/><Relationship Id="rId16" Type="http://schemas.openxmlformats.org/officeDocument/2006/relationships/hyperlink" Target="https://esipa.cz/sbirka/sbsrv.dll/sb?DR=AZ&amp;CP=1998s167-2021s417#P44C" TargetMode="External"/><Relationship Id="rId17" Type="http://schemas.openxmlformats.org/officeDocument/2006/relationships/hyperlink" Target="https://esipa.cz/sbirka/sbsrv.dll/sb?DR=SB&amp;CP=1998s167" TargetMode="External"/><Relationship Id="rId18" Type="http://schemas.openxmlformats.org/officeDocument/2006/relationships/hyperlink" Target="https://esipa.cz/sbirka/sbsrv.dll/sb?DR=SB&amp;CP=2013s273" TargetMode="External"/><Relationship Id="rId19" Type="http://schemas.openxmlformats.org/officeDocument/2006/relationships/hyperlink" Target="https://esipa.cz/sbirka/sbsrv.dll/sb?DR=SB&amp;CP=2021s366" TargetMode="External"/><Relationship Id="rId20" Type="http://schemas.openxmlformats.org/officeDocument/2006/relationships/hyperlink" Target="https://esipa.cz/sbirka/sbsrv.dll/sb?DR=AZ&amp;CP=2007s378-2021s261#P77" TargetMode="External"/><Relationship Id="rId21" Type="http://schemas.openxmlformats.org/officeDocument/2006/relationships/hyperlink" Target="https://esipa.cz/sbirka/sbsrv.dll/sb?DR=AZ&amp;CP=2007s378-2021s261#P79" TargetMode="External"/><Relationship Id="rId22" Type="http://schemas.openxmlformats.org/officeDocument/2006/relationships/hyperlink" Target="https://esipa.cz/sbirka/sbsrv.dll/sb?DR=AZ&amp;CP=2007s378-2021s261#P79A" TargetMode="External"/><Relationship Id="rId23" Type="http://schemas.openxmlformats.org/officeDocument/2006/relationships/hyperlink" Target="https://esipa.cz/sbirka/sbsrv.dll/sb?DR=AZ&amp;CP=2007s378-2021s261#P80" TargetMode="External"/><Relationship Id="rId24" Type="http://schemas.openxmlformats.org/officeDocument/2006/relationships/hyperlink" Target="https://esipa.cz/sbirka/sbsrv.dll/sb?DR=AZ&amp;CP=1998s167-2021s417#P2" TargetMode="External"/><Relationship Id="rId25" Type="http://schemas.openxmlformats.org/officeDocument/2006/relationships/hyperlink" Target="https://esipa.cz/sbirka/sbsrv.dll/sb?DR=AZ&amp;CP=1998s167-2021s417#P24A" TargetMode="External"/><Relationship Id="rId26" Type="http://schemas.openxmlformats.org/officeDocument/2006/relationships/hyperlink" Target="https://esipa.cz/sbirka/sbsrv.dll/sb?DR=AZ&amp;CP=2015s236-2020s307#P1" TargetMode="External"/><Relationship Id="rId27" Type="http://schemas.openxmlformats.org/officeDocument/2006/relationships/hyperlink" Target="https://esipa.cz/sbirka/sbsrv.dll/sb?DR=AZ&amp;CP=2015s236-2020s307#P2" TargetMode="External"/><Relationship Id="rId28" Type="http://schemas.openxmlformats.org/officeDocument/2006/relationships/hyperlink" Target="https://esipa.cz/sbirka/sbsrv.dll/sb?DR=AZ&amp;CP=2015s236-2020s307#P3" TargetMode="External"/><Relationship Id="rId29" Type="http://schemas.openxmlformats.org/officeDocument/2006/relationships/hyperlink" Target="https://esipa.cz/sbirka/sbsrv.dll/sb?DR=AZ&amp;CP=2015s236-2022s219#P2" TargetMode="External"/><Relationship Id="rId30" Type="http://schemas.openxmlformats.org/officeDocument/2006/relationships/hyperlink" Target="https://esipa.cz/sbirka/sbsrv.dll/sb?DR=AZ&amp;CP=2015s236-2020s307#P4" TargetMode="External"/><Relationship Id="rId31" Type="http://schemas.openxmlformats.org/officeDocument/2006/relationships/hyperlink" Target="https://esipa.cz/sbirka/sbsrv.dll/sb?DR=AZ&amp;CP=2015s236-2020s307#P5" TargetMode="External"/><Relationship Id="rId32" Type="http://schemas.openxmlformats.org/officeDocument/2006/relationships/hyperlink" Target="https://esipa.cz/sbirka/sbsrv.dll/sb?DR=AZ&amp;CP=2015s236-2022s219#P4" TargetMode="External"/><Relationship Id="rId33" Type="http://schemas.openxmlformats.org/officeDocument/2006/relationships/hyperlink" Target="https://esipa.cz/sbirka/sbsrv.dll/sb?DR=AZ&amp;CP=2015s236-2020s307#P5A" TargetMode="External"/><Relationship Id="rId34" Type="http://schemas.openxmlformats.org/officeDocument/2006/relationships/hyperlink" Target="https://esipa.cz/sbirka/sbsrv.dll/sb?DR=AZ&amp;CP=2015s236-2022s219#P5B" TargetMode="External"/><Relationship Id="rId35" Type="http://schemas.openxmlformats.org/officeDocument/2006/relationships/hyperlink" Target="https://esipa.cz/sbirka/sbsrv.dll/sb?DR=SB&amp;CP=32015L1535" TargetMode="External"/><Relationship Id="rId36" Type="http://schemas.openxmlformats.org/officeDocument/2006/relationships/header" Target="header1.xml"/><Relationship Id="rId3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219/2022 Sb. - původní znění</dc:title>
  <dc:description>Vyhláška, kterou se mění vyhláška č. 236/2015 Sb., o stanovení podmínek pro předepisování, přípravu, distribuci, výdej a používání individuálně připravovaných léčivých přípravků s obsahem konopí pro léčebné použití, ve znění vyhlášky č. 307/2020 Sb.</dc:description>
  <dc:subject/>
  <cp:keywords/>
  <cp:category/>
  <cp:lastModifiedBy/>
  <dcterms:created xsi:type="dcterms:W3CDTF">2022-08-10T00:00:00+02:00</dcterms:created>
  <dcterms:modified xsi:type="dcterms:W3CDTF">2022-08-05T15:38:26+02:00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