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27. července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344/2012 Sb.</w:t>
        </w:r>
      </w:hyperlink>
      <w:r>
        <w:rPr>
          <w:b/>
          <w:bCs/>
        </w:rPr>
        <w:t xml:space="preserve">, o stavu nouze v plynárenství a o způsobu zajištění bezpečnostního standardu dodávky plynu, ve znění vyhlášky č. </w:t>
      </w:r>
      <w:hyperlink r:id="rId8" w:history="1">
        <w:r>
          <w:rPr>
            <w:color w:val="darkblue"/>
            <w:u w:val="single"/>
          </w:rPr>
          <w:t xml:space="preserve">215/2015 Sb.</w:t>
        </w:r>
      </w:hyperlink>
    </w:p>
    <w:p/>
    <w:p>
      <w:pPr>
        <w:jc w:val="left"/>
        <w:ind w:left="0" w:right="0"/>
        <w:spacing w:after="0"/>
      </w:pPr>
      <w:r>
        <w:rPr/>
        <w:t xml:space="preserve">Ministerstvo průmyslu a obchodu stanoví podle </w:t>
      </w:r>
      <w:hyperlink r:id="rId9" w:history="1">
        <w:r>
          <w:rPr>
            <w:color w:val="darkblue"/>
            <w:u w:val="single"/>
          </w:rPr>
          <w:t xml:space="preserve">§ 98a</w:t>
        </w:r>
      </w:hyperlink>
      <w:r>
        <w:rPr/>
        <w:t xml:space="preserve"> odst. 1 písm. e) zákona č. </w:t>
      </w:r>
      <w:hyperlink r:id="rId10" w:history="1">
        <w:r>
          <w:rPr>
            <w:color w:val="darkblue"/>
            <w:u w:val="single"/>
          </w:rPr>
          <w:t xml:space="preserve">458/2000 Sb.</w:t>
        </w:r>
      </w:hyperlink>
      <w:r>
        <w:rPr/>
        <w:t xml:space="preserve">, o podmínkách podnikání a o výkonu státní správy v energetických odvětvích a o změně některých zákonů (energetický zákon), ve znění zákona č. </w:t>
      </w:r>
      <w:hyperlink r:id="rId11" w:history="1">
        <w:r>
          <w:rPr>
            <w:color w:val="darkblue"/>
            <w:u w:val="single"/>
          </w:rPr>
          <w:t xml:space="preserve">158/2009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211/2011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165/2012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131/2015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362/2021 Sb.</w:t>
        </w:r>
      </w:hyperlink>
      <w:r>
        <w:rPr/>
        <w:t xml:space="preserve"> a zákona č. </w:t>
      </w:r>
      <w:hyperlink r:id="rId16" w:history="1">
        <w:r>
          <w:rPr>
            <w:color w:val="darkblue"/>
            <w:u w:val="single"/>
          </w:rPr>
          <w:t xml:space="preserve">176/2022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344/2012 Sb.</w:t>
        </w:r>
      </w:hyperlink>
      <w:r>
        <w:rPr/>
        <w:t xml:space="preserve">, o stavu nouze v plynárenství a o způsobu zajištění bezpečnostního standardu dodávky plynu, ve znění vyhlášky č. </w:t>
      </w:r>
      <w:hyperlink r:id="rId8" w:history="1">
        <w:r>
          <w:rPr>
            <w:color w:val="darkblue"/>
            <w:u w:val="single"/>
          </w:rPr>
          <w:t xml:space="preserve">215/2015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Na konci textu </w:t>
      </w:r>
      <w:hyperlink r:id="rId17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doplňují slova „ , minimální požadovaná množství uskladněného plynu pro časové úseky v průběhu skladovacího roku a postup stanovení rozdílu mezi minimálním požadovaným množstvím a skutečným množstvím uskladněného plynu v zásobníku plynu“.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Poznámka pod čarou č. 1 zní:</w:t>
      </w:r>
    </w:p>
    <w:p>
      <w:pPr>
        <w:spacing w:after="200"/>
      </w:pPr>
      <w:pPr>
        <w:rPr/>
      </w:pPr>
    </w:p>
    <w:p>
      <w:pPr/>
      <w:r>
        <w:pict>
          <v:shape id="_x0000_s1014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„1)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18" w:history="1">
        <w:r>
          <w:rPr>
            <w:color w:val="darkblue"/>
            <w:u w:val="single"/>
          </w:rPr>
          <w:t xml:space="preserve">(EU) 2017/1938</w:t>
        </w:r>
      </w:hyperlink>
      <w:r>
        <w:rPr>
          <w:sz w:val="19.200000000000003"/>
          <w:szCs w:val="19.200000000000003"/>
        </w:rPr>
        <w:t xml:space="preserve"> ze dne 25. října 2017 o opatřeních na zajištění bezpečnosti dodávek zemního plynu a o zrušení nařízení </w:t>
      </w:r>
      <w:hyperlink r:id="rId19" w:history="1">
        <w:r>
          <w:rPr>
            <w:color w:val="darkblue"/>
            <w:u w:val="single"/>
          </w:rPr>
          <w:t xml:space="preserve">(EU) č. 994/2010</w:t>
        </w:r>
      </w:hyperlink>
      <w:r>
        <w:rPr>
          <w:sz w:val="19.200000000000003"/>
          <w:szCs w:val="19.200000000000003"/>
        </w:rPr>
        <w:t xml:space="preserve">, v platném znění.“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na konci textu písmene h) doplňují slova „ ; do skupiny F náleží v rozsahu spotřeby plynu na zapalování a stabilizaci spalování primárního paliva také odběrná místa výroben elektřiny a tepla, jejichž primárním palivem pro výrobu elektřiny nebo tepla není plyn, jsou provozovány ve veřejném zájmu a u kterých by přerušení dodávky plynu mohlo vést k ohrožení bezpečnosti a spolehlivosti provozu elektrizační soustavy, soustavy zásobování tepelnou energií nebo jejich částí, pokud o jejich zařazení do skupiny F písemně požádá příslušného provozovatele přepravní nebo distribuční soustavy provozovatel přenosové soustavy nebo držitel licence na výrobu tepelné energie; dále do skupiny F náleží v rozsahu spotřeby plynu na výrobu technologického tepla při výrobě léčiv a léčivých látek také odběrná místa držitelů povolení k výrobě léčivých přípravků a výrobců léčivých látek podle zákona o léčivech, pokud o jejich zařazení do skupiny F písemně požádá příslušného provozovatele přepravní nebo distribuční soustavy Ministerstvo zdravotnictví“.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Poznámky pod čarou č. 4 a 5 znějí:</w:t>
      </w:r>
    </w:p>
    <w:p>
      <w:pPr>
        <w:spacing w:after="200"/>
      </w:pPr>
      <w:pPr>
        <w:rPr/>
      </w:pPr>
    </w:p>
    <w:p>
      <w:pPr/>
      <w:r>
        <w:pict>
          <v:shape id="_x0000_s1019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„4)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 </w:t>
      </w:r>
      <w:hyperlink r:id="rId21" w:history="1">
        <w:r>
          <w:rPr>
            <w:color w:val="darkblue"/>
            <w:u w:val="single"/>
          </w:rPr>
          <w:t xml:space="preserve">349/2015 Sb.</w:t>
        </w:r>
      </w:hyperlink>
      <w:r>
        <w:rPr>
          <w:sz w:val="19.200000000000003"/>
          <w:szCs w:val="19.200000000000003"/>
        </w:rPr>
        <w:t xml:space="preserve">, o pravidlech trhu s plynem, ve znění pozdějších předpisů.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11 odst. 1 nařízení Evropského parlamentu a Rady </w:t>
      </w:r>
      <w:hyperlink r:id="rId18" w:history="1">
        <w:r>
          <w:rPr>
            <w:color w:val="darkblue"/>
            <w:u w:val="single"/>
          </w:rPr>
          <w:t xml:space="preserve">(EU) 2017/1938</w:t>
        </w:r>
      </w:hyperlink>
      <w:r>
        <w:rPr>
          <w:sz w:val="19.200000000000003"/>
          <w:szCs w:val="19.200000000000003"/>
        </w:rPr>
        <w:t xml:space="preserve">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5 úvodní část ustanovení zní:</w:t>
      </w:r>
    </w:p>
    <w:p>
      <w:pPr>
        <w:ind w:left="560" w:right="0"/>
      </w:pPr>
      <w:r>
        <w:rPr/>
        <w:t xml:space="preserve">„Pokud to aktuální situace v plynárenské soustavě nebo její části umožňuje, činnosti při stavu nouze se provádějí v následujícím pořadí:“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1 se slova „bez nároků na výrobu“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U odběrného plynového zařízení, kde nelze okamžitě snížit odběr na povolenou denní spotřebu, se stanovuje časový posun v hodinách jako čas nezbytný pro snížení odběru.“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4 se slova „odstavce 3“ nahrazují slovy „odstavce 2 a 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doplňují odstavce 8 až 10,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U zákazníků, kteří mají více odběrných míst, jež mají stejné identifikační číslo, lze povolenou denní spotřebu za tato odběrná místa slučovat nebo rozdělit na jiná odběrná místa, a to při respektování následujících pravidel: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celková hodnota povolené denní spotřeby všech odběrných míst zákazníka, které mají stejné identifikační číslo, není v žádném okamžiku vyšší než součet těchto hodnot za jednotlivá odběrná místa zákazníka se stejným identifikačním číslem,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při odběrovém stupni č. 2 lze slučovat pouze povolené denní hodnoty odběrných míst zařazených do skupiny B1,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při odběrovém stupni č. 3 až 5 lze slučovat povolené denní hodnoty odběrných míst zařazených jak do skupiny B1, tak i B2,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při odběrovém stupni č. 6 lze slučovat pouze povolené denní hodnoty odběrných míst zařazených do skupiny B2,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pokud je u odběrných míst stanoven časový posun pro snížení odběru na hodnotu povolené denní spotřeby delší než 8 hodin, zohledňují se při slučování hodnot povolené denní spotřeby tyto časové posuny,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na žádném z odběrných míst nesmí být překročeny smluvně rezervované kapacity.</w:t>
      </w:r>
    </w:p>
    <w:p>
      <w:pPr>
        <w:ind w:left="560" w:right="0"/>
      </w:pPr>
      <w:r>
        <w:rPr>
          <w:b/>
          <w:bCs/>
        </w:rPr>
        <w:t xml:space="preserve">(9)</w:t>
      </w:r>
      <w:r>
        <w:rPr/>
        <w:t xml:space="preserve"> Pro případy podle odstavce 8 zákazník v předstihu určí pro všechna svá odběrná místa hodnoty povolené denní spotřeby, a to pro jednotlivé situace uvedené v odstavci 8 pod písmeny b) až d), a prokazatelným způsobem nejpozději do 1. září daného roku je sdělí všem příslušným provozovatelům, k jejichž zařízení jsou jeho odběrná místa připojena. Příslušní provozovatelé ověří splnění podmínek uvedených v odstavci 8 a nejpozději do 30. září daného roku takto určené hodnoty povolené denní spotřeby jednotlivých odběrných míst příslušným zákazníkům prokazatelným způsobem potvrdí.</w:t>
      </w:r>
    </w:p>
    <w:p>
      <w:pPr>
        <w:ind w:left="560" w:right="0"/>
      </w:pPr>
      <w:r>
        <w:rPr>
          <w:b/>
          <w:bCs/>
        </w:rPr>
        <w:t xml:space="preserve">(10)</w:t>
      </w:r>
      <w:r>
        <w:rPr/>
        <w:t xml:space="preserve"> Slučování hodnot povolené denní spotřeby podle odstavců 8 a 9 se uplatní pouze při stavu nouze vyhlášeném provozovatelem přepravní soustavy pro celé území státu podle energetického zákona.“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se na konci odstavce 1 doplňuje věta „Pro konečné zařazení zákazníků do skupin B1, B2, C1 a C2 není rozhodující, zda byly splněny podmínky uvedené u těchto skupin v </w:t>
      </w:r>
      <w:hyperlink r:id="rId25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, pokud jde o stanovenou hranici 70 % spotřeby za období od 1. října předchozího roku do 31. března daného roku z celkové spotřeby za období od 1. dubna předchozího roku do 31. března daného roku, ale faktický charakter spotřeby zákazníka na základě jeho žádosti o zařazení do jiné skupiny, tedy zdali používá plyn především na otop anebo technologické účely.“.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se na konci textu odstavce 3 doplňují slova „s tím, že odběrná místa výroben elektřiny podle </w:t>
      </w:r>
      <w:hyperlink r:id="rId25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h) části věty za středníkem jsou zařazena do skupiny F na základě žádosti provozovatele přenosové soustavy doručené příslušnému provozovateli přepravní soustavy nebo provozovateli distribuční soustavy do 1. září daného roku, který o této skutečnosti písemně informuje zákazníka, jehož odběrné místo bylo do skupiny F tímto postupem zařazeno, a to do 30. září daného roku. Součástí žádosti je uvedení informace od výrobce elektřiny a tepla, zda je v odběrném místě elektřiny plyn určen pro zapalování nebo stabilizaci primárního paliva, a dále výše nezbytné denní spotřeby plynu dle účelu použití plynu a předpokládaná týdenní a měsíční výše spotřeby plynu“.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Poznámky pod čarou č. 6 až 9 znějí:</w:t>
      </w:r>
    </w:p>
    <w:p>
      <w:pPr>
        <w:spacing w:after="200"/>
      </w:pPr>
      <w:pPr>
        <w:rPr/>
      </w:pPr>
    </w:p>
    <w:p>
      <w:pPr/>
      <w:r>
        <w:pict>
          <v:shape id="_x0000_s1042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„6)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9 a 10 nařízení Evropského parlamentu a Rady </w:t>
      </w:r>
      <w:hyperlink r:id="rId18" w:history="1">
        <w:r>
          <w:rPr>
            <w:color w:val="darkblue"/>
            <w:u w:val="single"/>
          </w:rPr>
          <w:t xml:space="preserve">(EU) 2017/1938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8, 9 a 10 nařízení Evropského parlamentu a Rady </w:t>
      </w:r>
      <w:hyperlink r:id="rId18" w:history="1">
        <w:r>
          <w:rPr>
            <w:color w:val="darkblue"/>
            <w:u w:val="single"/>
          </w:rPr>
          <w:t xml:space="preserve">(EU) 2017/1938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6 odst. 1 nařízení Evropského parlamentu a Rady </w:t>
      </w:r>
      <w:hyperlink r:id="rId18" w:history="1">
        <w:r>
          <w:rPr>
            <w:color w:val="darkblue"/>
            <w:u w:val="single"/>
          </w:rPr>
          <w:t xml:space="preserve">(EU) 2017/1938</w:t>
        </w:r>
      </w:hyperlink>
      <w:r>
        <w:rPr>
          <w:sz w:val="19.200000000000003"/>
          <w:szCs w:val="19.200000000000003"/>
        </w:rPr>
        <w:t xml:space="preserve">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5 nařízení Evropského parlamentu a Rady </w:t>
      </w:r>
      <w:hyperlink r:id="rId18" w:history="1">
        <w:r>
          <w:rPr>
            <w:color w:val="darkblue"/>
            <w:u w:val="single"/>
          </w:rPr>
          <w:t xml:space="preserve">(EU) 2017/1938</w:t>
        </w:r>
      </w:hyperlink>
      <w:r>
        <w:rPr>
          <w:sz w:val="19.200000000000003"/>
          <w:szCs w:val="19.200000000000003"/>
        </w:rPr>
        <w:t xml:space="preserve">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Za </w:t>
      </w:r>
      <w:hyperlink r:id="rId26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se vkládá nový </w:t>
      </w:r>
      <w:hyperlink r:id="rId27" w:history="1">
        <w:r>
          <w:rPr>
            <w:color w:val="darkblue"/>
            <w:u w:val="single"/>
          </w:rPr>
          <w:t xml:space="preserve">§ 11a</w:t>
        </w:r>
      </w:hyperlink>
      <w:r>
        <w:rPr/>
        <w:t xml:space="preserve">, který včetně nadpisu zní:</w:t>
      </w:r>
    </w:p>
    <w:p>
      <w:pPr>
        <w:pStyle w:val="Heading2"/>
      </w:pPr>
      <w:r>
        <w:rPr>
          <w:b/>
          <w:bCs/>
        </w:rPr>
        <w:t xml:space="preserve">„§ 11a</w:t>
      </w:r>
      <w:r>
        <w:rPr>
          <w:rStyle w:val="hidden"/>
        </w:rPr>
        <w:t xml:space="preserve"> -</w:t>
      </w:r>
      <w:br/>
      <w:r>
        <w:rPr/>
        <w:t xml:space="preserve">Minimální požadovaná množství uskladněného plynu pro časové úseky v průběhu skladovacího roku a postup stanovení rozdílu mezi minimálním požadovaným množstvím a skutečným množstvím uskladněného plynu v zásobníku plynu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Osoba, jež má sjednanou smlouvu o uskladňování plynu v zásobníku plynu přímo připojeném do přepravní soustavy, jejímž předmětem je rezervace skladovací kapacity s pevným výkonem, využívá rezervovanou skladovací kapacitu a pro jednotlivé časové úseky skladovacího roku uskladňuje plyn v zásobníku plynu tak, aby měl v zásobníku plynu na počátku plynárenského dne uvedeného v příloze č. 7 k této vyhlášce uskladněno minimálně množství plynu stanovené pro tento den podle přílohy č. 7 k této vyhlášce.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Minimální množství plynu pro jednotlivé časové úseky v průběhu roku představuje v procentech vyjádřený minimální podíl plynu uskladněného účastníkem trhu s plynem podle odstavce 1 na celkové skladovací kapacitě s pevným výkonem, pro kterou má účastník trhu s plynem uzavřenou smlouvu či smlouvy s příslušným provozovatelem zásobníku plynu s výjimkou smluv na nevyužitou skladovací kapacitu.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Nevyužitá skladovací kapacita, tedy rozdíl mezi minimálním uskladněným množstvím plynu, požadovaným k danému plynárenskému dni a v tento den skutečně uskladněným množstvím plynu, je předmětem aukce s nulovou nebo zápornou vyvolávací cenou za službu uskladňování plynu podle jiného právního předpisu</w:t>
      </w:r>
      <w:hyperlink r:id="rId28" w:history="1">
        <w:r>
          <w:rPr>
            <w:color w:val="darkblue"/>
            <w:u w:val="single"/>
          </w:rPr>
          <w:t xml:space="preserve">10)</w:t>
        </w:r>
      </w:hyperlink>
      <w:r>
        <w:rPr/>
        <w:t xml:space="preserve">. Pro smlouvy o uskladňování plynu na nevyužitou skladovací kapacitu, uzavřené s novým držitelem nevyužité skladovací kapacity, a smlouvy o uskladňování plynu s dobou trvání kratší než 12 měsíců v daném skladovacím roce neplatí až do naplnění skladovací kapacity na 90 % milníky podle přílohy č. 7 k této vyhlášce, ale výsledným milníkem se až do takového naplnění stává maximální doba naplnění 90 % této nevyužité skladovací kapacity; maximální doba naplnění 90 % skladovací kapacity se použije také v případě smluv o uskladňování uzavíraných na dobu kratší než skladovací rok. Dobu naplnění skladovací kapacity na 90 % určí s přihlédnutím k technickým možnostem zásobníku plynu jeho provozovatel, nemůže však překročit dobu stanovenou pro jednotlivé zásobníky plynu podle přílohy č. 8 k této vyhlášce s tím, že do 30 dnů od zahájení naplňování nevyužité skladovací kapacity musí být naplněno minimálně jejích 10 %.“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Doplňují se přílohy č. 7 a 8, které včetně nadpisů znějí: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„Příloha č. 7 k vyhlášce č. 344/2012 Sb.</w:t>
      </w:r>
      <w:r>
        <w:rPr>
          <w:rStyle w:val="hidden"/>
        </w:rPr>
        <w:t xml:space="preserve"> -</w:t>
      </w:r>
      <w:br/>
      <w:r>
        <w:rPr/>
        <w:t xml:space="preserve">Minimální množství plynu stanovené pro jednotlivé časové úseky v průběhu skladovacího roku</w:t>
      </w:r>
    </w:p>
    <w:tbl>
      <w:tblGrid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Plynárenský den skladovacího roku 2022/2023</w:t>
            </w:r>
          </w:p>
        </w:tc>
        <w:tc>
          <w:tcPr/>
          <w:p>
            <w:pPr/>
            <w:r>
              <w:rPr/>
              <w:t xml:space="preserve"> 1. srpna</w:t>
            </w:r>
          </w:p>
        </w:tc>
        <w:tc>
          <w:tcPr/>
          <w:p>
            <w:pPr/>
            <w:r>
              <w:rPr/>
              <w:t xml:space="preserve"> 1. září</w:t>
            </w:r>
          </w:p>
        </w:tc>
        <w:tc>
          <w:tcPr/>
          <w:p>
            <w:pPr/>
            <w:r>
              <w:rPr/>
              <w:t xml:space="preserve"> 1. října</w:t>
            </w:r>
          </w:p>
        </w:tc>
        <w:tc>
          <w:tcPr/>
          <w:p>
            <w:pPr/>
            <w:r>
              <w:rPr/>
              <w:t xml:space="preserve"> 1. listopadu</w:t>
            </w:r>
          </w:p>
        </w:tc>
        <w:tc>
          <w:tcPr/>
          <w:p>
            <w:pPr/>
            <w:r>
              <w:rPr/>
              <w:t xml:space="preserve"> 1. února</w:t>
            </w:r>
          </w:p>
        </w:tc>
      </w:tr>
      <w:tr>
        <w:trPr/>
        <w:tc>
          <w:tcPr/>
          <w:p>
            <w:pPr/>
            <w:r>
              <w:rPr/>
              <w:t xml:space="preserve"> Minimální množství plynu</w:t>
            </w:r>
          </w:p>
        </w:tc>
        <w:tc>
          <w:tcPr/>
          <w:p>
            <w:pPr/>
            <w:r>
              <w:rPr/>
              <w:t xml:space="preserve"> 60 %</w:t>
            </w:r>
          </w:p>
        </w:tc>
        <w:tc>
          <w:tcPr/>
          <w:p>
            <w:pPr/>
            <w:r>
              <w:rPr/>
              <w:t xml:space="preserve"> 67 %</w:t>
            </w:r>
          </w:p>
        </w:tc>
        <w:tc>
          <w:tcPr/>
          <w:p>
            <w:pPr/>
            <w:r>
              <w:rPr/>
              <w:t xml:space="preserve"> 74 %</w:t>
            </w:r>
          </w:p>
        </w:tc>
        <w:tc>
          <w:tcPr/>
          <w:p>
            <w:pPr/>
            <w:r>
              <w:rPr/>
              <w:t xml:space="preserve"> 90 %</w:t>
            </w:r>
          </w:p>
        </w:tc>
        <w:tc>
          <w:tcPr/>
          <w:p>
            <w:pPr/>
            <w:r>
              <w:rPr/>
              <w:t xml:space="preserve"> 30 %</w:t>
            </w:r>
          </w:p>
        </w:tc>
      </w:tr>
    </w:tbl>
    <w:tbl>
      <w:tblGrid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Plynárenský den skladovacího roku 2023/2024 a následujících let</w:t>
            </w:r>
          </w:p>
        </w:tc>
        <w:tc>
          <w:tcPr/>
          <w:p>
            <w:pPr/>
            <w:r>
              <w:rPr/>
              <w:t xml:space="preserve"> 1. května </w:t>
            </w:r>
          </w:p>
        </w:tc>
        <w:tc>
          <w:tcPr/>
          <w:p>
            <w:pPr/>
            <w:r>
              <w:rPr/>
              <w:t xml:space="preserve"> 1. července </w:t>
            </w:r>
          </w:p>
        </w:tc>
        <w:tc>
          <w:tcPr/>
          <w:p>
            <w:pPr/>
            <w:r>
              <w:rPr/>
              <w:t xml:space="preserve"> 1. září </w:t>
            </w:r>
          </w:p>
        </w:tc>
        <w:tc>
          <w:tcPr/>
          <w:p>
            <w:pPr/>
            <w:r>
              <w:rPr/>
              <w:t xml:space="preserve"> 1. listopadu</w:t>
            </w:r>
          </w:p>
        </w:tc>
      </w:tr>
      <w:tr>
        <w:trPr/>
        <w:tc>
          <w:tcPr/>
          <w:p>
            <w:pPr/>
            <w:r>
              <w:rPr/>
              <w:t xml:space="preserve"> Minimální množství plynu</w:t>
            </w:r>
          </w:p>
        </w:tc>
        <w:tc>
          <w:tcPr/>
          <w:p>
            <w:pPr/>
            <w:r>
              <w:rPr/>
              <w:t xml:space="preserve"> 5 % </w:t>
            </w:r>
          </w:p>
        </w:tc>
        <w:tc>
          <w:tcPr/>
          <w:p>
            <w:pPr/>
            <w:r>
              <w:rPr/>
              <w:t xml:space="preserve"> 30 % </w:t>
            </w:r>
          </w:p>
        </w:tc>
        <w:tc>
          <w:tcPr/>
          <w:p>
            <w:pPr/>
            <w:r>
              <w:rPr/>
              <w:t xml:space="preserve"> 60 % </w:t>
            </w:r>
          </w:p>
        </w:tc>
        <w:tc>
          <w:tcPr/>
          <w:p>
            <w:pPr/>
            <w:r>
              <w:rPr/>
              <w:t xml:space="preserve"> 90 % </w:t>
            </w:r>
          </w:p>
        </w:tc>
      </w:tr>
    </w:tbl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8 k vyhlášce č. 344/2012 Sb.</w:t>
      </w:r>
      <w:r>
        <w:rPr>
          <w:rStyle w:val="hidden"/>
        </w:rPr>
        <w:t xml:space="preserve"> -</w:t>
      </w:r>
      <w:br/>
      <w:r>
        <w:rPr/>
        <w:t xml:space="preserve">Maximální doba pro naplnění nevyužité skladovací kapacity získané účastníkem trhu v aukci s nulovou nebo zápornou vyvolávací cenou za službu uskladňování plynu</w:t>
      </w:r>
    </w:p>
    <w:p>
      <w:pPr>
        <w:ind w:left="560" w:right="0"/>
      </w:pPr>
      <w:r>
        <w:rPr/>
        <w:t xml:space="preserve">Maximální doba pro naplnění nevyužité skladovací kapacity získané účastníkem trhu v aukci s nulovou nebo zápornou vyvolávací cenou za službu uskladňování plynu nemůže překročit dobu stanovenou pro jednotlivé provozovatele zásobníků plynu následovně: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-	</w:t>
      </w:r>
      <w:r>
        <w:rPr/>
        <w:t xml:space="preserve">provozovatel zásobníku plynu ve vztahu k zásobníkům plynu Tvrdonice, Lobodice, Dolní Dunajovice, Štramberk, Háje, Třanovice – 120 dnů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-	</w:t>
      </w:r>
      <w:r>
        <w:rPr/>
        <w:t xml:space="preserve">provozovatel zásobníku plynu ve vztahu k zásobníku plynu Uhřice – 90 dnů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-	</w:t>
      </w:r>
      <w:r>
        <w:rPr/>
        <w:t xml:space="preserve">provozovatel zásobníku plynu ve vztahu k zásobníku plynu Dambořice – 100 dnů“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Pokud provozovatel přepravní soustavy nebo provozovatel distribuční soustavy stanovil hodnotu povolené denní spotřeby podle </w:t>
      </w:r>
      <w:hyperlink r:id="rId23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1 ve znění účinném přede dnem nabytí účinnosti této vyhlášky, určí tuto hodnotu nově podle </w:t>
      </w:r>
      <w:hyperlink r:id="rId29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3 včetně stanovení časového posunu podle </w:t>
      </w:r>
      <w:hyperlink r:id="rId29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2 a prokazatelně ji sdělí zákazníkovi do 1. září 2022. V případě nesouhlasu zákazníka s takto stanovenou hodnotou povolené denní spotřeby nebo dobou pro snížení odběru na tuto hodnotu zákazník odůvodní odlišnou hodnotu povolené denní spotřeby a dobu časového posunu v hodinách, a to soupisem svých spotřebičů a jejich technologických parametrů, a zašle příslušnému provozovateli žádost o přehodnocení nejpozději do 15. září 2022. Příslušný provozovatel akceptací či odmítnutím souhlasu s odůvodněnou hodnotou povolené denní spotřeby a časovým posunem stanoví konečnou hodnotu povolené denní spotřeby a časový posun, které potvrdí písemným sdělením zákazníkovi do 30. září 2022.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srpna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průmyslu a obchodu: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Síkela</w:t>
      </w:r>
      <w:r>
        <w:rPr/>
        <w:t xml:space="preserve"> v. r.</w:t>
      </w:r>
    </w:p>
    <w:sectPr>
      <w:headerReference w:type="default" r:id="rId30"/>
      <w:footerReference w:type="default" r:id="rId3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224/2022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2s344" TargetMode="External"/><Relationship Id="rId8" Type="http://schemas.openxmlformats.org/officeDocument/2006/relationships/hyperlink" Target="https://esipa.cz/sbirka/sbsrv.dll/sb?DR=SB&amp;CP=2015s215" TargetMode="External"/><Relationship Id="rId9" Type="http://schemas.openxmlformats.org/officeDocument/2006/relationships/hyperlink" Target="https://esipa.cz/sbirka/sbsrv.dll/sb?DR=AZ&amp;CP=2000s458-2021s362_20220701#P98A" TargetMode="External"/><Relationship Id="rId10" Type="http://schemas.openxmlformats.org/officeDocument/2006/relationships/hyperlink" Target="https://esipa.cz/sbirka/sbsrv.dll/sb?DR=SB&amp;CP=2000s458" TargetMode="External"/><Relationship Id="rId11" Type="http://schemas.openxmlformats.org/officeDocument/2006/relationships/hyperlink" Target="https://esipa.cz/sbirka/sbsrv.dll/sb?DR=SB&amp;CP=2009s158" TargetMode="External"/><Relationship Id="rId12" Type="http://schemas.openxmlformats.org/officeDocument/2006/relationships/hyperlink" Target="https://esipa.cz/sbirka/sbsrv.dll/sb?DR=SB&amp;CP=2011s211" TargetMode="External"/><Relationship Id="rId13" Type="http://schemas.openxmlformats.org/officeDocument/2006/relationships/hyperlink" Target="https://esipa.cz/sbirka/sbsrv.dll/sb?DR=SB&amp;CP=2012s165" TargetMode="External"/><Relationship Id="rId14" Type="http://schemas.openxmlformats.org/officeDocument/2006/relationships/hyperlink" Target="https://esipa.cz/sbirka/sbsrv.dll/sb?DR=SB&amp;CP=2015s131" TargetMode="External"/><Relationship Id="rId15" Type="http://schemas.openxmlformats.org/officeDocument/2006/relationships/hyperlink" Target="https://esipa.cz/sbirka/sbsrv.dll/sb?DR=SB&amp;CP=2021s362" TargetMode="External"/><Relationship Id="rId16" Type="http://schemas.openxmlformats.org/officeDocument/2006/relationships/hyperlink" Target="https://esipa.cz/sbirka/sbsrv.dll/sb?DR=SB&amp;CP=2022s176" TargetMode="External"/><Relationship Id="rId17" Type="http://schemas.openxmlformats.org/officeDocument/2006/relationships/hyperlink" Target="https://esipa.cz/sbirka/sbsrv.dll/sb?DR=AZ&amp;CP=2012s344-2015s215_20161001#P001" TargetMode="External"/><Relationship Id="rId18" Type="http://schemas.openxmlformats.org/officeDocument/2006/relationships/hyperlink" Target="https://esipa.cz/sbirka/sbsrv.dll/sb?DR=SB&amp;CP=32017R1938" TargetMode="External"/><Relationship Id="rId19" Type="http://schemas.openxmlformats.org/officeDocument/2006/relationships/hyperlink" Target="https://esipa.cz/sbirka/sbsrv.dll/sb?DR=SB&amp;CP=32010R0994" TargetMode="External"/><Relationship Id="rId20" Type="http://schemas.openxmlformats.org/officeDocument/2006/relationships/hyperlink" Target="https://esipa.cz/sbirka/sbsrv.dll/sb?DR=AZ&amp;CP=2012s344-2015s215_20161001#P002" TargetMode="External"/><Relationship Id="rId21" Type="http://schemas.openxmlformats.org/officeDocument/2006/relationships/hyperlink" Target="https://esipa.cz/sbirka/sbsrv.dll/sb?DR=SB&amp;CP=2015s349" TargetMode="External"/><Relationship Id="rId22" Type="http://schemas.openxmlformats.org/officeDocument/2006/relationships/hyperlink" Target="https://esipa.cz/sbirka/sbsrv.dll/sb?DR=AZ&amp;CP=2012s344-2015s215_20161001#P004" TargetMode="External"/><Relationship Id="rId23" Type="http://schemas.openxmlformats.org/officeDocument/2006/relationships/hyperlink" Target="https://esipa.cz/sbirka/sbsrv.dll/sb?DR=AZ&amp;CP=2012s344-2015s215_20161001#P007" TargetMode="External"/><Relationship Id="rId24" Type="http://schemas.openxmlformats.org/officeDocument/2006/relationships/hyperlink" Target="https://esipa.cz/sbirka/sbsrv.dll/sb?DR=AZ&amp;CP=2012s344-2015s215_20161001#P008" TargetMode="External"/><Relationship Id="rId25" Type="http://schemas.openxmlformats.org/officeDocument/2006/relationships/hyperlink" Target="https://esipa.cz/sbirka/sbsrv.dll/sb?DR=AZ&amp;CP=2012s344-2022s224#P2" TargetMode="External"/><Relationship Id="rId26" Type="http://schemas.openxmlformats.org/officeDocument/2006/relationships/hyperlink" Target="https://esipa.cz/sbirka/sbsrv.dll/sb?DR=AZ&amp;CP=2012s344-2015s215_20161001#P011" TargetMode="External"/><Relationship Id="rId27" Type="http://schemas.openxmlformats.org/officeDocument/2006/relationships/hyperlink" Target="https://esipa.cz/sbirka/sbsrv.dll/sb?DR=AZ&amp;CP=2012s344-2022s224#P11A" TargetMode="External"/><Relationship Id="rId28" Type="http://schemas.openxmlformats.org/officeDocument/2006/relationships/hyperlink" Target="https://esipa.cz/sbirka/sbsrv.dll/sb?DR=AZ&amp;CP=2012s344-2015s215_20161001#note_10" TargetMode="External"/><Relationship Id="rId29" Type="http://schemas.openxmlformats.org/officeDocument/2006/relationships/hyperlink" Target="https://esipa.cz/sbirka/sbsrv.dll/sb?DR=AZ&amp;CP=2012s344-2022s224#P7" TargetMode="External"/><Relationship Id="rId30" Type="http://schemas.openxmlformats.org/officeDocument/2006/relationships/header" Target="header1.xml"/><Relationship Id="rId3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224/2022 Sb. - původní znění</dc:title>
  <dc:description>Vyhláška, kterou se mění vyhláška č. 344/2012 Sb., o stavu nouze v plynárenství a o způsobu zajištění bezpečnostního standardu dodávky plynu, ve znění vyhlášky č. 215/2015 Sb.</dc:description>
  <dc:subject/>
  <cp:keywords/>
  <cp:category/>
  <cp:lastModifiedBy/>
  <dcterms:created xsi:type="dcterms:W3CDTF">2022-08-01T00:00:00+02:00</dcterms:created>
  <dcterms:modified xsi:type="dcterms:W3CDTF">2023-02-13T13:00:07+01:00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