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1. června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463/2013 Sb.</w:t>
        </w:r>
      </w:hyperlink>
      <w:r>
        <w:rPr>
          <w:b/>
          <w:bCs/>
        </w:rPr>
        <w:t xml:space="preserve">, o seznamech návykových látek,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8" w:history="1">
        <w:r>
          <w:rPr>
            <w:color w:val="darkblue"/>
            <w:u w:val="single"/>
          </w:rPr>
          <w:t xml:space="preserve">§ 44c</w:t>
        </w:r>
      </w:hyperlink>
      <w:r>
        <w:rPr/>
        <w:t xml:space="preserve"> odst. 1 zákona č. </w:t>
      </w:r>
      <w:hyperlink r:id="rId9" w:history="1">
        <w:r>
          <w:rPr>
            <w:color w:val="darkblue"/>
            <w:u w:val="single"/>
          </w:rPr>
          <w:t xml:space="preserve">167/1998 Sb.</w:t>
        </w:r>
      </w:hyperlink>
      <w:r>
        <w:rPr/>
        <w:t xml:space="preserve">, o návykových látkách a o změně některých dalších zákonů, ve znění zákona č. </w:t>
      </w:r>
      <w:hyperlink r:id="rId10" w:history="1">
        <w:r>
          <w:rPr>
            <w:color w:val="darkblue"/>
            <w:u w:val="single"/>
          </w:rPr>
          <w:t xml:space="preserve">273/2013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366/2021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463/2013 Sb.</w:t>
        </w:r>
      </w:hyperlink>
      <w:r>
        <w:rPr/>
        <w:t xml:space="preserve">, o seznamech návykových látek, ve znění nařízení vlády č. </w:t>
      </w:r>
      <w:hyperlink r:id="rId12" w:history="1">
        <w:r>
          <w:rPr>
            <w:color w:val="darkblue"/>
            <w:u w:val="single"/>
          </w:rPr>
          <w:t xml:space="preserve">243/2015 Sb.</w:t>
        </w:r>
      </w:hyperlink>
      <w:r>
        <w:rPr/>
        <w:t xml:space="preserve">, nařízení vlády č. </w:t>
      </w:r>
      <w:hyperlink r:id="rId13" w:history="1">
        <w:r>
          <w:rPr>
            <w:color w:val="darkblue"/>
            <w:u w:val="single"/>
          </w:rPr>
          <w:t xml:space="preserve">46/2017 Sb.</w:t>
        </w:r>
      </w:hyperlink>
      <w:r>
        <w:rPr/>
        <w:t xml:space="preserve">, nařízení vlády č. </w:t>
      </w:r>
      <w:hyperlink r:id="rId14" w:history="1">
        <w:r>
          <w:rPr>
            <w:color w:val="darkblue"/>
            <w:u w:val="single"/>
          </w:rPr>
          <w:t xml:space="preserve">30/2018 Sb.</w:t>
        </w:r>
      </w:hyperlink>
      <w:r>
        <w:rPr/>
        <w:t xml:space="preserve">, nařízení vlády č. </w:t>
      </w:r>
      <w:hyperlink r:id="rId15" w:history="1">
        <w:r>
          <w:rPr>
            <w:color w:val="darkblue"/>
            <w:u w:val="single"/>
          </w:rPr>
          <w:t xml:space="preserve">242/2018 Sb.</w:t>
        </w:r>
      </w:hyperlink>
      <w:r>
        <w:rPr/>
        <w:t xml:space="preserve"> a nařízení vlády č. </w:t>
      </w:r>
      <w:hyperlink r:id="rId16" w:history="1">
        <w:r>
          <w:rPr>
            <w:color w:val="darkblue"/>
            <w:u w:val="single"/>
          </w:rPr>
          <w:t xml:space="preserve">184/2021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konci textu poznámky pod čarou č. 3 se na samostatném řádku doplňuje věta</w:t>
      </w:r>
    </w:p>
    <w:p>
      <w:pPr>
        <w:ind w:left="560" w:right="0"/>
      </w:pPr>
      <w:r>
        <w:rPr/>
        <w:t xml:space="preserve">„Směrnice Komise v přenesené pravomoci </w:t>
      </w:r>
      <w:hyperlink r:id="rId17" w:history="1">
        <w:r>
          <w:rPr>
            <w:color w:val="darkblue"/>
            <w:u w:val="single"/>
          </w:rPr>
          <w:t xml:space="preserve">(EU) 2021/802</w:t>
        </w:r>
      </w:hyperlink>
      <w:r>
        <w:rPr/>
        <w:t xml:space="preserve"> ze dne 12. března 2021, kterou se mění příloha rámcového rozhodnutí Rady </w:t>
      </w:r>
      <w:hyperlink r:id="rId18" w:history="1">
        <w:r>
          <w:rPr>
            <w:color w:val="darkblue"/>
            <w:u w:val="single"/>
          </w:rPr>
          <w:t xml:space="preserve">2004/757/SVV</w:t>
        </w:r>
      </w:hyperlink>
      <w:r>
        <w:rPr/>
        <w:t xml:space="preserve">, pokud jde o zahrnutí nových psychoaktivních látek methyl 3,3-dimethyl-2-{[1-(pent-4-en-1-yl)-1H-indazol-3-karbonyl]amino}butanoát (MDMB-4en-PINACA) a methyl 2-{[1-(4-fluorobutyl)-1H- -indol-3-karbonyl]amino }-3 , 3-dimethylbutanoát (4F-MDMB-BICA) do definice drogy.“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Příloha č. 1 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„Příloha č. 1 k nařízení vlády č. 463/2013 Sb.</w:t>
      </w:r>
      <w:r>
        <w:rPr>
          <w:rStyle w:val="hidden"/>
        </w:rPr>
        <w:t xml:space="preserve"> -</w:t>
      </w:r>
      <w:br/>
      <w:r>
        <w:rPr/>
        <w:t xml:space="preserve">Seznam č. 1 omamných látek</w:t>
      </w:r>
    </w:p>
    <w:p>
      <w:pPr>
        <w:jc w:val="center"/>
      </w:pPr>
      <w:hyperlink r:id="rId19" w:history="1">
        <w:r>
          <w:rPr>
            <w:color w:val="blue"/>
          </w:rPr>
          <w:t xml:space="preserve">Příloha PDF (6337 kB)“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Přílohy č. 3 a 4 znějí: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„Příloha č. 3 k nařízení vlády č. 463/2013 Sb.</w:t>
      </w:r>
      <w:r>
        <w:rPr>
          <w:rStyle w:val="hidden"/>
        </w:rPr>
        <w:t xml:space="preserve"> -</w:t>
      </w:r>
      <w:br/>
      <w:r>
        <w:rPr/>
        <w:t xml:space="preserve">Seznam č. 3 omamných látek</w:t>
      </w:r>
    </w:p>
    <w:p>
      <w:pPr>
        <w:jc w:val="center"/>
      </w:pPr>
      <w:hyperlink r:id="rId20" w:history="1">
        <w:r>
          <w:rPr>
            <w:color w:val="blue"/>
          </w:rPr>
          <w:t xml:space="preserve">Příloha PDF (2821 kB)</w:t>
        </w:r>
      </w:hyperlink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4 k nařízení vlády č. 463/2013 Sb.</w:t>
      </w:r>
      <w:r>
        <w:rPr>
          <w:rStyle w:val="hidden"/>
        </w:rPr>
        <w:t xml:space="preserve"> -</w:t>
      </w:r>
      <w:br/>
      <w:r>
        <w:rPr/>
        <w:t xml:space="preserve">Seznam č. 4 psychotropních látek</w:t>
      </w:r>
    </w:p>
    <w:p>
      <w:pPr>
        <w:jc w:val="center"/>
      </w:pPr>
      <w:hyperlink r:id="rId21" w:history="1">
        <w:r>
          <w:rPr>
            <w:color w:val="blue"/>
          </w:rPr>
          <w:t xml:space="preserve">Příloha PDF (21330 kB)“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tabulce přílohy č. 7 se pod řádek, ve kterém je ve sloupci s názvem „Mezinárodní nechráněný název (INN) v českém jazyce“ uvedeno slovo „Tetrazepam“, vkládá nový řádek, ve kterém je ve sloupci s názvem „Mezinárodní nechráněný název (INN) v českém jazyce“ uvedeno slovo „Tofisopam“, ve sloupci „Další mezinárodní nechráněný název nebo obecný název“ jsou uvedena slova „Grandaxin, Emandaxin, EGYT 341 Nodeprine, Seriel, TF“ a ve sloupci s názvem „Chemický název podle IUPAC“ je uvedeno slovo „1-(3,4-dimethoxyfenyl)-5-ethyl-7,8-dimethoxy-4-methyl-5H-2,3-benzodiazepin“.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Technický předpis</w:t>
      </w:r>
    </w:p>
    <w:p>
      <w:pPr>
        <w:ind w:left="0" w:right="0"/>
      </w:pPr>
      <w:r>
        <w:rPr/>
        <w:t xml:space="preserve">Toto nařízení bylo oznámeno v souladu se směrnicí Evropského parlamentu a Rady </w:t>
      </w:r>
      <w:hyperlink r:id="rId22" w:history="1">
        <w:r>
          <w:rPr>
            <w:color w:val="darkblue"/>
            <w:u w:val="single"/>
          </w:rPr>
          <w:t xml:space="preserve">(EU) 2015/1535</w:t>
        </w:r>
      </w:hyperlink>
      <w:r>
        <w:rPr/>
        <w:t xml:space="preserve"> ze dne 9. září 2015 o postupu při poskytování informací v oblasti technických předpisů a předpisů pro služby informační společnosti.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prvním dnem kalendářního měsíce následujícího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Místopředseda vlády a 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sectPr>
      <w:headerReference w:type="default" r:id="rId23"/>
      <w:footerReference w:type="default" r:id="rId2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159/2022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3s463" TargetMode="External"/><Relationship Id="rId8" Type="http://schemas.openxmlformats.org/officeDocument/2006/relationships/hyperlink" Target="https://esipa.cz/sbirka/sbsrv.dll/sb?DR=AZ&amp;CP=1998s167-2021s417#P44C" TargetMode="External"/><Relationship Id="rId9" Type="http://schemas.openxmlformats.org/officeDocument/2006/relationships/hyperlink" Target="https://esipa.cz/sbirka/sbsrv.dll/sb?DR=SB&amp;CP=1998s167" TargetMode="External"/><Relationship Id="rId10" Type="http://schemas.openxmlformats.org/officeDocument/2006/relationships/hyperlink" Target="https://esipa.cz/sbirka/sbsrv.dll/sb?DR=SB&amp;CP=2013s273" TargetMode="External"/><Relationship Id="rId11" Type="http://schemas.openxmlformats.org/officeDocument/2006/relationships/hyperlink" Target="https://esipa.cz/sbirka/sbsrv.dll/sb?DR=SB&amp;CP=2021s366" TargetMode="External"/><Relationship Id="rId12" Type="http://schemas.openxmlformats.org/officeDocument/2006/relationships/hyperlink" Target="https://esipa.cz/sbirka/sbsrv.dll/sb?DR=SB&amp;CP=2015s243" TargetMode="External"/><Relationship Id="rId13" Type="http://schemas.openxmlformats.org/officeDocument/2006/relationships/hyperlink" Target="https://esipa.cz/sbirka/sbsrv.dll/sb?DR=SB&amp;CP=2017s046" TargetMode="External"/><Relationship Id="rId14" Type="http://schemas.openxmlformats.org/officeDocument/2006/relationships/hyperlink" Target="https://esipa.cz/sbirka/sbsrv.dll/sb?DR=SB&amp;CP=2018s030" TargetMode="External"/><Relationship Id="rId15" Type="http://schemas.openxmlformats.org/officeDocument/2006/relationships/hyperlink" Target="https://esipa.cz/sbirka/sbsrv.dll/sb?DR=SB&amp;CP=2018s242" TargetMode="External"/><Relationship Id="rId16" Type="http://schemas.openxmlformats.org/officeDocument/2006/relationships/hyperlink" Target="https://esipa.cz/sbirka/sbsrv.dll/sb?DR=SB&amp;CP=2021s184" TargetMode="External"/><Relationship Id="rId17" Type="http://schemas.openxmlformats.org/officeDocument/2006/relationships/hyperlink" Target="https://esipa.cz/sbirka/sbsrv.dll/sb?DR=SB&amp;CP=32021L0802" TargetMode="External"/><Relationship Id="rId18" Type="http://schemas.openxmlformats.org/officeDocument/2006/relationships/hyperlink" Target="https://esipa.cz/sbirka/sbsrv.dll/sb?DR=SB&amp;CP=32004F0757" TargetMode="External"/><Relationship Id="rId19" Type="http://schemas.openxmlformats.org/officeDocument/2006/relationships/hyperlink" Target="https://esipa.cz/soubor/b4e49e0066dec2d02a1286079dc4db56a742e06a133f03f54424a3bcd9a2c2763ba92328f137f18a8a7c19f29c68efb85f1132a3f66860d9642507706a69a3ca/2022s159p01-cl-01-02.pdf" TargetMode="External"/><Relationship Id="rId20" Type="http://schemas.openxmlformats.org/officeDocument/2006/relationships/hyperlink" Target="https://esipa.cz/soubor/5fd246f3025c83a33e9916f30a2de35c0035299c5e24f9146df24580adbe05d707f28b6bc05a2d757e8dc0983b1bcc2faac6932915e72495bc8645014a890bd0/2022s159p03-cl-01-03.pdf" TargetMode="External"/><Relationship Id="rId21" Type="http://schemas.openxmlformats.org/officeDocument/2006/relationships/hyperlink" Target="https://esipa.cz/soubor/ed93d73ec695c21a8d5a7aeb75844ce30d88630b3629c195842b7859d05c97f9b6667d436efec75506182bd7d959abe204fed3875109d8d22794ef7840f8ab7b/2022s159p04-cl-01-03.pdf" TargetMode="External"/><Relationship Id="rId22" Type="http://schemas.openxmlformats.org/officeDocument/2006/relationships/hyperlink" Target="https://esipa.cz/sbirka/sbsrv.dll/sb?DR=SB&amp;CP=32015L1535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159/2022 Sb. - původní znění</dc:title>
  <dc:description>Nařízení vlády, kterým se mění nařízení vlády č. 463/2013 Sb., o seznamech návykových látek, ve znění pozdějších předpisů</dc:description>
  <dc:subject/>
  <cp:keywords/>
  <cp:category/>
  <cp:lastModifiedBy/>
  <dcterms:created xsi:type="dcterms:W3CDTF">2022-07-01T00:00:00+02:00</dcterms:created>
  <dcterms:modified xsi:type="dcterms:W3CDTF">2024-03-08T14:00:10+01:00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