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160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14. června 2022,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5/2014 Sb.</w:t>
        </w:r>
      </w:hyperlink>
      <w:r>
        <w:rPr>
          <w:b/>
          <w:bCs/>
        </w:rPr>
        <w:t xml:space="preserve">, o způsobu, termínech a rozsahu údajů předkládaných pro hodnocení plnění státního rozpočtu, rozpočtů státních fondů, rozpočtů územních samosprávných celků a rozpočtů dobrovolných svazků obcí,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Ministerstvo financí stanoví podle </w:t>
      </w:r>
      <w:hyperlink r:id="rId8" w:history="1">
        <w:r>
          <w:rPr>
            <w:color w:val="darkblue"/>
            <w:u w:val="single"/>
          </w:rPr>
          <w:t xml:space="preserve">§ 20</w:t>
        </w:r>
      </w:hyperlink>
      <w:r>
        <w:rPr/>
        <w:t xml:space="preserve"> odst. 6 a </w:t>
      </w:r>
      <w:hyperlink r:id="rId9" w:history="1">
        <w:r>
          <w:rPr>
            <w:color w:val="darkblue"/>
            <w:u w:val="single"/>
          </w:rPr>
          <w:t xml:space="preserve">§ 47</w:t>
        </w:r>
      </w:hyperlink>
      <w:r>
        <w:rPr/>
        <w:t xml:space="preserve"> odst. 7 zákona č. </w:t>
      </w:r>
      <w:hyperlink r:id="rId10" w:history="1">
        <w:r>
          <w:rPr>
            <w:color w:val="darkblue"/>
            <w:u w:val="single"/>
          </w:rPr>
          <w:t xml:space="preserve">218/2000 Sb.</w:t>
        </w:r>
      </w:hyperlink>
      <w:r>
        <w:rPr/>
        <w:t xml:space="preserve">, o rozpočtových pravidlech a o změně některých souvisejících zákonů (rozpočtová pravidla), ve znění zákona č. </w:t>
      </w:r>
      <w:hyperlink r:id="rId11" w:history="1">
        <w:r>
          <w:rPr>
            <w:color w:val="darkblue"/>
            <w:u w:val="single"/>
          </w:rPr>
          <w:t xml:space="preserve">482/2004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26/2008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421/2009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25/2015 Sb.</w:t>
        </w:r>
      </w:hyperlink>
      <w:r>
        <w:rPr/>
        <w:t xml:space="preserve"> a zákona č. </w:t>
      </w:r>
      <w:hyperlink r:id="rId15" w:history="1">
        <w:r>
          <w:rPr>
            <w:color w:val="darkblue"/>
            <w:u w:val="single"/>
          </w:rPr>
          <w:t xml:space="preserve">128/2016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5/2014 Sb.</w:t>
        </w:r>
      </w:hyperlink>
      <w:r>
        <w:rPr/>
        <w:t xml:space="preserve">, o způsobu, termínech a rozsahu údajů předkládaných pro hodnocení plnění státního rozpočtu, rozpočtů státních fondů, rozpočtů územních samosprávných celků a rozpočtů dobrovolných svazků obcí, ve znění vyhlášky č. </w:t>
      </w:r>
      <w:hyperlink r:id="rId16" w:history="1">
        <w:r>
          <w:rPr>
            <w:color w:val="darkblue"/>
            <w:u w:val="single"/>
          </w:rPr>
          <w:t xml:space="preserve">363/2014 Sb.</w:t>
        </w:r>
      </w:hyperlink>
      <w:r>
        <w:rPr/>
        <w:t xml:space="preserve">, vyhlášky č. </w:t>
      </w:r>
      <w:hyperlink r:id="rId17" w:history="1">
        <w:r>
          <w:rPr>
            <w:color w:val="darkblue"/>
            <w:u w:val="single"/>
          </w:rPr>
          <w:t xml:space="preserve">364/2014 Sb.</w:t>
        </w:r>
      </w:hyperlink>
      <w:r>
        <w:rPr/>
        <w:t xml:space="preserve">, vyhlášky č. </w:t>
      </w:r>
      <w:hyperlink r:id="rId18" w:history="1">
        <w:r>
          <w:rPr>
            <w:color w:val="darkblue"/>
            <w:u w:val="single"/>
          </w:rPr>
          <w:t xml:space="preserve">347/2015 Sb.</w:t>
        </w:r>
      </w:hyperlink>
      <w:r>
        <w:rPr/>
        <w:t xml:space="preserve">, vyhlášky č. </w:t>
      </w:r>
      <w:hyperlink r:id="rId19" w:history="1">
        <w:r>
          <w:rPr>
            <w:color w:val="darkblue"/>
            <w:u w:val="single"/>
          </w:rPr>
          <w:t xml:space="preserve">395/2016 Sb.</w:t>
        </w:r>
      </w:hyperlink>
      <w:r>
        <w:rPr/>
        <w:t xml:space="preserve">, vyhlášky č. </w:t>
      </w:r>
      <w:hyperlink r:id="rId20" w:history="1">
        <w:r>
          <w:rPr>
            <w:color w:val="darkblue"/>
            <w:u w:val="single"/>
          </w:rPr>
          <w:t xml:space="preserve">466/2017 Sb.</w:t>
        </w:r>
      </w:hyperlink>
      <w:r>
        <w:rPr/>
        <w:t xml:space="preserve">, vyhlášky č. </w:t>
      </w:r>
      <w:hyperlink r:id="rId21" w:history="1">
        <w:r>
          <w:rPr>
            <w:color w:val="darkblue"/>
            <w:u w:val="single"/>
          </w:rPr>
          <w:t xml:space="preserve">344/2019 Sb.</w:t>
        </w:r>
      </w:hyperlink>
      <w:r>
        <w:rPr/>
        <w:t xml:space="preserve"> a vyhlášky č. </w:t>
      </w:r>
      <w:hyperlink r:id="rId22" w:history="1">
        <w:r>
          <w:rPr>
            <w:color w:val="darkblue"/>
            <w:u w:val="single"/>
          </w:rPr>
          <w:t xml:space="preserve">514/2021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příloze č. 1 bodu 10 se věta poslední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příloze č. 6 bodu 5 se za slovo „skladbou“ vkládají slova „a bodem 14“.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příloze č. 6 bod 14 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„14.</w:t>
      </w:r>
      <w:r>
        <w:rPr/>
        <w:t xml:space="preserve">	</w:t>
      </w:r>
      <w:r>
        <w:rPr/>
        <w:t xml:space="preserve">Část X.a - Příjmy a přijaté půjčené peněžní prostředky související s mimořádnými událostmi regionálního nebo celorepublikového významu a část X.b - Výdaje související s mimořádnými událostmi regionálního nebo celorepublikového významu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14.1 </w:t>
      </w:r>
      <w:r>
        <w:rPr/>
        <w:t xml:space="preserve">	</w:t>
      </w:r>
      <w:r>
        <w:rPr/>
        <w:t xml:space="preserve">V této části výkazu se uvádějí příjmy, přijaté půjčené peněžní prostředky a výdaje související s mimořádnými událostmi regionálního nebo celorepublikového významu v členění podle jednotlivých mimořádných událostí. Mimořádnou událostí se pro účely této vyhlášky rozumí událost s potencionálně významným dopadem na státní rozpočet, rozpočty státních fondů, rozpočty územních samosprávných celků, rozpočty dobrovolných svazků obcí nebo rozpočty příspěvkových organizací.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14.2 </w:t>
      </w:r>
      <w:r>
        <w:rPr/>
        <w:t xml:space="preserve">	</w:t>
      </w:r>
      <w:r>
        <w:rPr/>
        <w:t xml:space="preserve">Číslo mimořádné události je dvoumístné. Mimořádné události jsou číslovány vzestupně v chronologickém pořadí. Mimořádné události s jejich čísly, názvy a platností jsou vyhlašovány a zveřejňovány na internetových stránkách Ministerstva financí.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14.3 </w:t>
      </w:r>
      <w:r>
        <w:rPr/>
        <w:t xml:space="preserve">	</w:t>
      </w:r>
      <w:r>
        <w:rPr/>
        <w:t xml:space="preserve">Údaj v části X.a sl. 03 vyjadřuje výsledek od počátku roku v rámci příslušného paragrafu, položky, nebo položky zvýšení financování, nástroje a prostorové jednotky na straně příjmů a dané mimořádné události za vykazované období. Údaj v části X.b sl. 03 vyjadřuje výsledek od počátku roku v rámci příslušného paragrafu, položky, nástroje a prostorové jednotky na straně výdajů a dané mimořádné události za vykazované období. V případě nástrojového a prostorového třídění podle rozpočtové skladby se postupuje podle bodů 15 a 16.“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příloze č. 6 ve vzoru FIN 2-12 M Výkaz pro hodnocení plnění rozpočtu územních samosprávných celků a dobrovolných svazků obcí části X.a a X.b znějí: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„X.a </w:t>
      </w:r>
      <w:r>
        <w:rPr/>
        <w:t xml:space="preserve">	</w:t>
      </w:r>
      <w:r>
        <w:rPr>
          <w:b/>
          <w:bCs/>
        </w:rPr>
        <w:t xml:space="preserve">Příjmy a přijaté půjčené peněžní prostředky související s mimořádnými událostmi regionálního nebo celorepublikového významu</w:t>
      </w:r>
    </w:p>
    <w:tbl>
      <w:tblGrid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Mimořádná událost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Paragraf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Položka, nebo položka zvýšení financování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Nástroj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Prostorová jednotka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Výsledek od počátku roku</w:t>
            </w:r>
          </w:p>
        </w:tc>
      </w:tr>
      <w:tr>
        <w:trPr/>
        <w:tc>
          <w:tcPr/>
          <w:p>
            <w:pPr/>
            <w:r>
              <w:rPr>
                <w:b/>
                <w:bCs/>
                <w:i/>
                <w:iCs/>
              </w:rPr>
              <w:t xml:space="preserve">a</w:t>
            </w:r>
          </w:p>
        </w:tc>
        <w:tc>
          <w:tcPr/>
          <w:p>
            <w:pPr/>
            <w:r>
              <w:rPr>
                <w:b/>
                <w:bCs/>
                <w:i/>
                <w:iCs/>
              </w:rPr>
              <w:t xml:space="preserve">b</w:t>
            </w:r>
          </w:p>
        </w:tc>
        <w:tc>
          <w:tcPr/>
          <w:p>
            <w:pPr/>
            <w:r>
              <w:rPr>
                <w:b/>
                <w:bCs/>
                <w:i/>
                <w:iCs/>
              </w:rPr>
              <w:t xml:space="preserve">c</w:t>
            </w:r>
          </w:p>
        </w:tc>
        <w:tc>
          <w:tcPr/>
          <w:p>
            <w:pPr/>
            <w:r>
              <w:rPr>
                <w:b/>
                <w:bCs/>
                <w:i/>
                <w:iCs/>
              </w:rPr>
              <w:t xml:space="preserve">d</w:t>
            </w:r>
          </w:p>
        </w:tc>
        <w:tc>
          <w:tcPr/>
          <w:p>
            <w:pPr/>
            <w:r>
              <w:rPr>
                <w:b/>
                <w:bCs/>
                <w:i/>
                <w:iCs/>
              </w:rPr>
              <w:t xml:space="preserve">e</w:t>
            </w:r>
          </w:p>
        </w:tc>
        <w:tc>
          <w:tcPr/>
          <w:p>
            <w:pPr/>
            <w:r>
              <w:rPr>
                <w:b/>
                <w:bCs/>
                <w:i/>
                <w:iCs/>
              </w:rPr>
              <w:t xml:space="preserve">03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</w:tr>
    </w:tbl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X.b </w:t>
      </w:r>
      <w:r>
        <w:rPr/>
        <w:t xml:space="preserve">	</w:t>
      </w:r>
      <w:r>
        <w:rPr>
          <w:b/>
          <w:bCs/>
        </w:rPr>
        <w:t xml:space="preserve">Výdaje související s mimořádnými událostmi regionálního nebo celorepublikového významu</w:t>
      </w:r>
    </w:p>
    <w:tbl>
      <w:tblGrid>
        <w:gridCol/>
        <w:gridCol/>
        <w:gridCol/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>
                <w:b/>
                <w:bCs/>
              </w:rPr>
              <w:t xml:space="preserve">Mimořádná událost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Paragraf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Položka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Nástroj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Prostorová jednotka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Výsledek od počátku roku</w:t>
            </w:r>
          </w:p>
        </w:tc>
      </w:tr>
      <w:tr>
        <w:trPr/>
        <w:tc>
          <w:tcPr/>
          <w:p>
            <w:pPr/>
            <w:r>
              <w:rPr>
                <w:b/>
                <w:bCs/>
                <w:i/>
                <w:iCs/>
              </w:rPr>
              <w:t xml:space="preserve">a</w:t>
            </w:r>
          </w:p>
        </w:tc>
        <w:tc>
          <w:tcPr/>
          <w:p>
            <w:pPr/>
            <w:r>
              <w:rPr>
                <w:b/>
                <w:bCs/>
                <w:i/>
                <w:iCs/>
              </w:rPr>
              <w:t xml:space="preserve">b</w:t>
            </w:r>
          </w:p>
        </w:tc>
        <w:tc>
          <w:tcPr/>
          <w:p>
            <w:pPr/>
            <w:r>
              <w:rPr>
                <w:b/>
                <w:bCs/>
                <w:i/>
                <w:iCs/>
              </w:rPr>
              <w:t xml:space="preserve">c</w:t>
            </w:r>
          </w:p>
        </w:tc>
        <w:tc>
          <w:tcPr/>
          <w:p>
            <w:pPr/>
            <w:r>
              <w:rPr>
                <w:b/>
                <w:bCs/>
                <w:i/>
                <w:iCs/>
              </w:rPr>
              <w:t xml:space="preserve">d</w:t>
            </w:r>
          </w:p>
        </w:tc>
        <w:tc>
          <w:tcPr/>
          <w:p>
            <w:pPr/>
            <w:r>
              <w:rPr>
                <w:b/>
                <w:bCs/>
                <w:i/>
                <w:iCs/>
              </w:rPr>
              <w:t xml:space="preserve">e</w:t>
            </w:r>
          </w:p>
        </w:tc>
        <w:tc>
          <w:tcPr/>
          <w:p>
            <w:pPr/>
            <w:r>
              <w:rPr>
                <w:b/>
                <w:bCs/>
                <w:i/>
                <w:iCs/>
              </w:rPr>
              <w:t xml:space="preserve">03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  <w:r>
              <w:rPr>
                <w:b/>
                <w:bCs/>
              </w:rPr>
              <w:t xml:space="preserve"> </w:t>
            </w:r>
          </w:p>
        </w:tc>
        <w:tc>
          <w:tcPr/>
          <w:p>
            <w:pPr/>
          </w:p>
        </w:tc>
      </w:tr>
    </w:tbl>
    <w:p>
      <w:pPr>
        <w:ind w:left="900" w:right="0"/>
      </w:pPr>
      <w:r>
        <w:rPr/>
        <w:t xml:space="preserve">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Přechodná ustanovení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Při vypracování finančních výkazů za kalendářní měsíce předcházející dni nabytí účinnosti této vyhlášky se postupuje podle vyhlášky č. </w:t>
      </w:r>
      <w:hyperlink r:id="rId7" w:history="1">
        <w:r>
          <w:rPr>
            <w:color w:val="darkblue"/>
            <w:u w:val="single"/>
          </w:rPr>
          <w:t xml:space="preserve">5/2014 Sb.</w:t>
        </w:r>
      </w:hyperlink>
      <w:r>
        <w:rPr/>
        <w:t xml:space="preserve">, ve znění účinném přede dnem nabytí účinnosti této vyhlášky.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Části X.a a X.b Výkazu pro hodnocení plnění rozpočtu územních samosprávných celků a dobrovolných svazků obcí se sestavují a předávají podle vyhlášky č. </w:t>
      </w:r>
      <w:hyperlink r:id="rId7" w:history="1">
        <w:r>
          <w:rPr>
            <w:color w:val="darkblue"/>
            <w:u w:val="single"/>
          </w:rPr>
          <w:t xml:space="preserve">5/2014 Sb.</w:t>
        </w:r>
      </w:hyperlink>
      <w:r>
        <w:rPr/>
        <w:t xml:space="preserve">, ve znění účinném ode dne nabytí účinnosti této vyhlášky, poprvé za kalendářní měsíc srpen roku 2022.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července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financí: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Stanjura</w:t>
      </w:r>
      <w:r>
        <w:rPr/>
        <w:t xml:space="preserve"> v. r.</w:t>
      </w:r>
    </w:p>
    <w:sectPr>
      <w:headerReference w:type="default" r:id="rId23"/>
      <w:footerReference w:type="default" r:id="rId2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160/2022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4s005" TargetMode="External"/><Relationship Id="rId8" Type="http://schemas.openxmlformats.org/officeDocument/2006/relationships/hyperlink" Target="https://esipa.cz/sbirka/sbsrv.dll/sb?DR=AZ&amp;CP=2000s218-2021s251_20220101#P20" TargetMode="External"/><Relationship Id="rId9" Type="http://schemas.openxmlformats.org/officeDocument/2006/relationships/hyperlink" Target="https://esipa.cz/sbirka/sbsrv.dll/sb?DR=AZ&amp;CP=2000s218-2021s251_20220101#P47" TargetMode="External"/><Relationship Id="rId10" Type="http://schemas.openxmlformats.org/officeDocument/2006/relationships/hyperlink" Target="https://esipa.cz/sbirka/sbsrv.dll/sb?DR=SB&amp;CP=2000s218" TargetMode="External"/><Relationship Id="rId11" Type="http://schemas.openxmlformats.org/officeDocument/2006/relationships/hyperlink" Target="https://esipa.cz/sbirka/sbsrv.dll/sb?DR=SB&amp;CP=2004s482" TargetMode="External"/><Relationship Id="rId12" Type="http://schemas.openxmlformats.org/officeDocument/2006/relationships/hyperlink" Target="https://esipa.cz/sbirka/sbsrv.dll/sb?DR=SB&amp;CP=2008s026" TargetMode="External"/><Relationship Id="rId13" Type="http://schemas.openxmlformats.org/officeDocument/2006/relationships/hyperlink" Target="https://esipa.cz/sbirka/sbsrv.dll/sb?DR=SB&amp;CP=2009s421" TargetMode="External"/><Relationship Id="rId14" Type="http://schemas.openxmlformats.org/officeDocument/2006/relationships/hyperlink" Target="https://esipa.cz/sbirka/sbsrv.dll/sb?DR=SB&amp;CP=2015s025" TargetMode="External"/><Relationship Id="rId15" Type="http://schemas.openxmlformats.org/officeDocument/2006/relationships/hyperlink" Target="https://esipa.cz/sbirka/sbsrv.dll/sb?DR=SB&amp;CP=2016s128" TargetMode="External"/><Relationship Id="rId16" Type="http://schemas.openxmlformats.org/officeDocument/2006/relationships/hyperlink" Target="https://esipa.cz/sbirka/sbsrv.dll/sb?DR=SB&amp;CP=2014s363" TargetMode="External"/><Relationship Id="rId17" Type="http://schemas.openxmlformats.org/officeDocument/2006/relationships/hyperlink" Target="https://esipa.cz/sbirka/sbsrv.dll/sb?DR=SB&amp;CP=2014s364" TargetMode="External"/><Relationship Id="rId18" Type="http://schemas.openxmlformats.org/officeDocument/2006/relationships/hyperlink" Target="https://esipa.cz/sbirka/sbsrv.dll/sb?DR=SB&amp;CP=2015s347" TargetMode="External"/><Relationship Id="rId19" Type="http://schemas.openxmlformats.org/officeDocument/2006/relationships/hyperlink" Target="https://esipa.cz/sbirka/sbsrv.dll/sb?DR=SB&amp;CP=2016s395" TargetMode="External"/><Relationship Id="rId20" Type="http://schemas.openxmlformats.org/officeDocument/2006/relationships/hyperlink" Target="https://esipa.cz/sbirka/sbsrv.dll/sb?DR=SB&amp;CP=2017s466" TargetMode="External"/><Relationship Id="rId21" Type="http://schemas.openxmlformats.org/officeDocument/2006/relationships/hyperlink" Target="https://esipa.cz/sbirka/sbsrv.dll/sb?DR=SB&amp;CP=2019s344" TargetMode="External"/><Relationship Id="rId22" Type="http://schemas.openxmlformats.org/officeDocument/2006/relationships/hyperlink" Target="https://esipa.cz/sbirka/sbsrv.dll/sb?DR=SB&amp;CP=2021s514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160/2022 Sb. - původní znění</dc:title>
  <dc:description>Vyhláška, kterou se mění vyhláška č. 5/2014 Sb., o způsobu, termínech a rozsahu údajů předkládaných pro hodnocení plnění státního rozpočtu, rozpočtů státních fondů, rozpočtů územních samosprávných celků a rozpočtů dobrovolných svazků obcí, ve znění pozdějších předpisů</dc:description>
  <dc:subject/>
  <cp:keywords/>
  <cp:category/>
  <cp:lastModifiedBy/>
  <dcterms:created xsi:type="dcterms:W3CDTF">2022-07-01T00:00:00+02:00</dcterms:created>
  <dcterms:modified xsi:type="dcterms:W3CDTF">2023-11-24T10:48:51+01:00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