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111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20. dubna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74/2005 Sb.</w:t>
        </w:r>
      </w:hyperlink>
      <w:r>
        <w:rPr>
          <w:b/>
          <w:bCs/>
        </w:rPr>
        <w:t xml:space="preserve">, o zájmovém vzdělávání, ve znění pozdějších předpisů, a vyhláška č. </w:t>
      </w:r>
      <w:hyperlink r:id="rId8" w:history="1">
        <w:r>
          <w:rPr>
            <w:color w:val="darkblue"/>
            <w:u w:val="single"/>
          </w:rPr>
          <w:t xml:space="preserve">310/2018 Sb.</w:t>
        </w:r>
      </w:hyperlink>
      <w:r>
        <w:rPr>
          <w:b/>
          <w:bCs/>
        </w:rPr>
        <w:t xml:space="preserve">, o krajských normativech, ve znění vyhlášky č. </w:t>
      </w:r>
      <w:hyperlink r:id="rId9" w:history="1">
        <w:r>
          <w:rPr>
            <w:color w:val="darkblue"/>
            <w:u w:val="single"/>
          </w:rPr>
          <w:t xml:space="preserve">572/2020 Sb.</w:t>
        </w:r>
      </w:hyperlink>
    </w:p>
    <w:p/>
    <w:p>
      <w:pPr>
        <w:jc w:val="left"/>
        <w:ind w:left="0" w:right="0"/>
        <w:spacing w:after="0"/>
      </w:pPr>
      <w:r>
        <w:rPr/>
        <w:t xml:space="preserve">Ministerstvo školství, mládeže a tělovýchovy stanoví podle </w:t>
      </w:r>
      <w:hyperlink r:id="rId10" w:history="1">
        <w:r>
          <w:rPr>
            <w:color w:val="darkblue"/>
            <w:u w:val="single"/>
          </w:rPr>
          <w:t xml:space="preserve">§ 112</w:t>
        </w:r>
      </w:hyperlink>
      <w:r>
        <w:rPr/>
        <w:t xml:space="preserve">, </w:t>
      </w:r>
      <w:hyperlink r:id="rId11" w:history="1">
        <w:r>
          <w:rPr>
            <w:color w:val="darkblue"/>
            <w:u w:val="single"/>
          </w:rPr>
          <w:t xml:space="preserve">§ 161c</w:t>
        </w:r>
      </w:hyperlink>
      <w:r>
        <w:rPr/>
        <w:t xml:space="preserve"> odst. 2 písm. b) a </w:t>
      </w:r>
      <w:hyperlink r:id="rId12" w:history="1">
        <w:r>
          <w:rPr>
            <w:color w:val="darkblue"/>
            <w:u w:val="single"/>
          </w:rPr>
          <w:t xml:space="preserve">§ 170</w:t>
        </w:r>
      </w:hyperlink>
      <w:r>
        <w:rPr/>
        <w:t xml:space="preserve"> písm. f) zákona č. </w:t>
      </w:r>
      <w:hyperlink r:id="rId13" w:history="1">
        <w:r>
          <w:rPr>
            <w:color w:val="darkblue"/>
            <w:u w:val="single"/>
          </w:rPr>
          <w:t xml:space="preserve">561/2004 Sb.</w:t>
        </w:r>
      </w:hyperlink>
      <w:r>
        <w:rPr/>
        <w:t xml:space="preserve">, o předškolním, základním, středním, vyšším odborném a jiném vzdělávání (školský zákon), ve znění zákona č. </w:t>
      </w:r>
      <w:hyperlink r:id="rId14" w:history="1">
        <w:r>
          <w:rPr>
            <w:color w:val="darkblue"/>
            <w:u w:val="single"/>
          </w:rPr>
          <w:t xml:space="preserve">101/2017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vyhlášky č. 74/2005 Sb.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74/2005 Sb.</w:t>
        </w:r>
      </w:hyperlink>
      <w:r>
        <w:rPr/>
        <w:t xml:space="preserve">, o zájmovém vzdělávání, ve znění vyhlášky č. </w:t>
      </w:r>
      <w:hyperlink r:id="rId15" w:history="1">
        <w:r>
          <w:rPr>
            <w:color w:val="darkblue"/>
            <w:u w:val="single"/>
          </w:rPr>
          <w:t xml:space="preserve">109/2011 Sb.</w:t>
        </w:r>
      </w:hyperlink>
      <w:r>
        <w:rPr/>
        <w:t xml:space="preserve">, vyhlášky č. </w:t>
      </w:r>
      <w:hyperlink r:id="rId16" w:history="1">
        <w:r>
          <w:rPr>
            <w:color w:val="darkblue"/>
            <w:u w:val="single"/>
          </w:rPr>
          <w:t xml:space="preserve">279/2012 Sb.</w:t>
        </w:r>
      </w:hyperlink>
      <w:r>
        <w:rPr/>
        <w:t xml:space="preserve">, vyhlášky č. </w:t>
      </w:r>
      <w:hyperlink r:id="rId17" w:history="1">
        <w:r>
          <w:rPr>
            <w:color w:val="darkblue"/>
            <w:u w:val="single"/>
          </w:rPr>
          <w:t xml:space="preserve">197/2016 Sb.</w:t>
        </w:r>
      </w:hyperlink>
      <w:r>
        <w:rPr/>
        <w:t xml:space="preserve">, vyhlášky č. </w:t>
      </w:r>
      <w:hyperlink r:id="rId18" w:history="1">
        <w:r>
          <w:rPr>
            <w:color w:val="darkblue"/>
            <w:u w:val="single"/>
          </w:rPr>
          <w:t xml:space="preserve">163/2018 Sb.</w:t>
        </w:r>
      </w:hyperlink>
      <w:r>
        <w:rPr/>
        <w:t xml:space="preserve">, vyhlášky č. </w:t>
      </w:r>
      <w:hyperlink r:id="rId19" w:history="1">
        <w:r>
          <w:rPr>
            <w:color w:val="darkblue"/>
            <w:u w:val="single"/>
          </w:rPr>
          <w:t xml:space="preserve">196/2019 Sb.</w:t>
        </w:r>
      </w:hyperlink>
      <w:r>
        <w:rPr/>
        <w:t xml:space="preserve"> a vyhlášky č. </w:t>
      </w:r>
      <w:hyperlink r:id="rId20" w:history="1">
        <w:r>
          <w:rPr>
            <w:color w:val="darkblue"/>
            <w:u w:val="single"/>
          </w:rPr>
          <w:t xml:space="preserve">423/2020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se na konci písmene f) doplňuje slovo „nebo“.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3 písmeno b)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„b)</w:t>
      </w:r>
      <w:r>
        <w:rPr/>
        <w:t xml:space="preserve">	</w:t>
      </w:r>
      <w:r>
        <w:rPr/>
        <w:t xml:space="preserve">pravidelnou docházkou přihlášení k zájmovému vzdělávání, které není pravidelnou denní docházkou a které se koná po dobu nejméně 5 po sobě jdoucích měsíců v období školního vyučování pravidelně s výjimkou období školních prázdnin alespoň jednou za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týden v rozsahu alespoň 1 hodiny, nebo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2 týdny v rozsahu alespoň 2 hodin,“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vyhlášky č. 310/2018 Sb.</w:t>
      </w:r>
    </w:p>
    <w:p>
      <w:pPr>
        <w:pStyle w:val="Heading2"/>
      </w:pPr>
      <w:r>
        <w:rPr>
          <w:b/>
          <w:bCs/>
        </w:rPr>
        <w:t xml:space="preserve">Čl. II</w:t>
      </w:r>
    </w:p>
    <w:p>
      <w:pPr>
        <w:ind w:left="0" w:right="0"/>
      </w:pPr>
      <w:r>
        <w:rPr/>
        <w:t xml:space="preserve">Vyhláška č. </w:t>
      </w:r>
      <w:hyperlink r:id="rId8" w:history="1">
        <w:r>
          <w:rPr>
            <w:color w:val="darkblue"/>
            <w:u w:val="single"/>
          </w:rPr>
          <w:t xml:space="preserve">310/2018 Sb.</w:t>
        </w:r>
      </w:hyperlink>
      <w:r>
        <w:rPr/>
        <w:t xml:space="preserve">, o krajských normativech, ve znění vyhlášky č. </w:t>
      </w:r>
      <w:hyperlink r:id="rId9" w:history="1">
        <w:r>
          <w:rPr>
            <w:color w:val="darkblue"/>
            <w:u w:val="single"/>
          </w:rPr>
          <w:t xml:space="preserve">572/2020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písmena b) a c) 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„b)</w:t>
      </w:r>
      <w:r>
        <w:rPr/>
        <w:t xml:space="preserve">	</w:t>
      </w:r>
      <w:r>
        <w:rPr/>
        <w:t xml:space="preserve">ve středisku volného času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1 dítě, 1 žák, 1 student, který je přijat k 1 nebo více zájmovým, výchovným, rekreačním nebo vzdělávacím činnostem s pravidelnou docházkou podle vyhlášky upravující zájmové vzdělávání, které se konají v rozsahu nejvýše 3 hodiny týdně v průměru po dobu nejméně 5 po sobě jdoucích měsíců v období školního vyučování s výjimkou období školních prázdnin,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1 dítě, 1 žák, 1 student, který je přijat k 1 nebo více zájmovým, výchovným, rekreačním nebo vzdělávacím činnostem s pravidelnou docházkou podle vyhlášky upravující zájmové vzdělávání, které se konají v rozsahu více než 3 hodiny týdně v průměru po dobu nejméně 5 po sobě jdoucích měsíců v období školního vyučování s výjimkou období školních prázdnin,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1 dítě, 1 žák, 1 student, který je přijat k 1 nebo více táborům, a to na dobu alespoň 5 po sobě jdoucích dnů,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1 žák ve školním klubu, který se vzdělává v základní škole, v základní škole speciální, v nižším stupni šestiletého nebo osmiletého gymnázia nebo v odpovídajících ročnících v osmiletém vzdělávacím programu konzervatoře a který je přijat k 1 nebo více zájmovým, výchovným, rekreačním nebo vzdělávacím činnostem s pravidelnou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denní docházkou podle vyhlášky upravující zájmové vzdělávání,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docházkou podle vyhlášky upravující zájmové vzdělávání,“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písm. d) se slova „kteří jsou přijati“ nahrazují slovy „který je přijat“ a na konci textu písmene se doplňují slova „podle vyhlášky upravující zájmové vzdělávání“.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3 písm. c) se slova „ , kterému středisko volného času zajišťuje naplnění volného času zájmovou činností se zaměřením na různé oblasti“ nahrazují slovy „ve středisku volného času“.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3 písm. d) se slova „ , kterému školní klub zajišťuje naplnění volného času zájmovou činností se zaměřením na různé oblasti“ nahrazují slovy „ve školním klubu“.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odstavec 7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písm. a) se slova „školských zařízení uvedených v písmenu b)“ nahrazují slovy „zařízení školního stravování, školní družiny a táboru u středisek volného času“.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písm. b) se slovo „školských“ zrušuje a slova „školních družin“ se nahrazují slovy „školní družiny“.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doplňuje odstavec 6,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Krajský normativ pro jednotku výkonu podle </w:t>
      </w:r>
      <w:hyperlink r:id="rId25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písm. b) bodu 3 se stanoví z krajského normativu pro jednotku výkonu podle </w:t>
      </w:r>
      <w:hyperlink r:id="rId25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písm. b) bodu 2 opravným koeficientem, který nesmí být vyšší než 0,25.“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1 se za slova „až 4“ vkládají slova „a 6“.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Příloha „Minimální personální zabezpečení k zajištění vzdělávání a školských služeb poskytovaných školskými zařízeními zřizovanými krajem, obcí nebo svazkem obcí“ se zrušuje.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III</w:t>
      </w:r>
    </w:p>
    <w:p>
      <w:pPr>
        <w:ind w:left="0" w:right="0"/>
      </w:pPr>
      <w:r>
        <w:rPr/>
        <w:t xml:space="preserve">Tato vyhláška nabývá účinnosti dnem 1. září 2022, s výjimkou ustanovení čl. II, který nabývá účinnosti dnem 1. ledna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školství, mládeže a tělovýchovy: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Gazdík</w:t>
      </w:r>
      <w:r>
        <w:rPr/>
        <w:t xml:space="preserve"> v. r.</w:t>
      </w:r>
    </w:p>
    <w:sectPr>
      <w:headerReference w:type="default" r:id="rId27"/>
      <w:footerReference w:type="default" r:id="rId2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111/2022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5s074" TargetMode="External"/><Relationship Id="rId8" Type="http://schemas.openxmlformats.org/officeDocument/2006/relationships/hyperlink" Target="https://esipa.cz/sbirka/sbsrv.dll/sb?DR=SB&amp;CP=2018s310" TargetMode="External"/><Relationship Id="rId9" Type="http://schemas.openxmlformats.org/officeDocument/2006/relationships/hyperlink" Target="https://esipa.cz/sbirka/sbsrv.dll/sb?DR=SB&amp;CP=2020s572" TargetMode="External"/><Relationship Id="rId10" Type="http://schemas.openxmlformats.org/officeDocument/2006/relationships/hyperlink" Target="https://esipa.cz/sbirka/sbsrv.dll/sb?DR=AZ&amp;CP=2004s561-2021s261#P112" TargetMode="External"/><Relationship Id="rId11" Type="http://schemas.openxmlformats.org/officeDocument/2006/relationships/hyperlink" Target="https://esipa.cz/sbirka/sbsrv.dll/sb?DR=AZ&amp;CP=2004s561-2021s261#P161C" TargetMode="External"/><Relationship Id="rId12" Type="http://schemas.openxmlformats.org/officeDocument/2006/relationships/hyperlink" Target="https://esipa.cz/sbirka/sbsrv.dll/sb?DR=AZ&amp;CP=2004s561-2021s261#P170" TargetMode="External"/><Relationship Id="rId13" Type="http://schemas.openxmlformats.org/officeDocument/2006/relationships/hyperlink" Target="https://esipa.cz/sbirka/sbsrv.dll/sb?DR=SB&amp;CP=2004s561" TargetMode="External"/><Relationship Id="rId14" Type="http://schemas.openxmlformats.org/officeDocument/2006/relationships/hyperlink" Target="https://esipa.cz/sbirka/sbsrv.dll/sb?DR=SB&amp;CP=2017s101" TargetMode="External"/><Relationship Id="rId15" Type="http://schemas.openxmlformats.org/officeDocument/2006/relationships/hyperlink" Target="https://esipa.cz/sbirka/sbsrv.dll/sb?DR=SB&amp;CP=2011s109" TargetMode="External"/><Relationship Id="rId16" Type="http://schemas.openxmlformats.org/officeDocument/2006/relationships/hyperlink" Target="https://esipa.cz/sbirka/sbsrv.dll/sb?DR=SB&amp;CP=2012s279" TargetMode="External"/><Relationship Id="rId17" Type="http://schemas.openxmlformats.org/officeDocument/2006/relationships/hyperlink" Target="https://esipa.cz/sbirka/sbsrv.dll/sb?DR=SB&amp;CP=2016s197" TargetMode="External"/><Relationship Id="rId18" Type="http://schemas.openxmlformats.org/officeDocument/2006/relationships/hyperlink" Target="https://esipa.cz/sbirka/sbsrv.dll/sb?DR=SB&amp;CP=2018s163" TargetMode="External"/><Relationship Id="rId19" Type="http://schemas.openxmlformats.org/officeDocument/2006/relationships/hyperlink" Target="https://esipa.cz/sbirka/sbsrv.dll/sb?DR=SB&amp;CP=2019s196" TargetMode="External"/><Relationship Id="rId20" Type="http://schemas.openxmlformats.org/officeDocument/2006/relationships/hyperlink" Target="https://esipa.cz/sbirka/sbsrv.dll/sb?DR=SB&amp;CP=2020s423" TargetMode="External"/><Relationship Id="rId21" Type="http://schemas.openxmlformats.org/officeDocument/2006/relationships/hyperlink" Target="https://esipa.cz/sbirka/sbsrv.dll/sb?DR=AZ&amp;CP=2005s074-2020s423#P2" TargetMode="External"/><Relationship Id="rId22" Type="http://schemas.openxmlformats.org/officeDocument/2006/relationships/hyperlink" Target="https://esipa.cz/sbirka/sbsrv.dll/sb?DR=AZ&amp;CP=2018s310-2020s572#P1" TargetMode="External"/><Relationship Id="rId23" Type="http://schemas.openxmlformats.org/officeDocument/2006/relationships/hyperlink" Target="https://esipa.cz/sbirka/sbsrv.dll/sb?DR=AZ&amp;CP=2018s310-2020s572#P2" TargetMode="External"/><Relationship Id="rId24" Type="http://schemas.openxmlformats.org/officeDocument/2006/relationships/hyperlink" Target="https://esipa.cz/sbirka/sbsrv.dll/sb?DR=AZ&amp;CP=2018s310-2020s572#P4" TargetMode="External"/><Relationship Id="rId25" Type="http://schemas.openxmlformats.org/officeDocument/2006/relationships/hyperlink" Target="https://esipa.cz/sbirka/sbsrv.dll/sb?DR=AZ&amp;CP=2018s310-2022s111_20230101#P1" TargetMode="External"/><Relationship Id="rId26" Type="http://schemas.openxmlformats.org/officeDocument/2006/relationships/hyperlink" Target="https://esipa.cz/sbirka/sbsrv.dll/sb?DR=AZ&amp;CP=2018s310-2020s572#P7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111/2022 Sb. - původní znění</dc:title>
  <dc:description>Vyhláška, kterou se mění vyhláška č. 74/2005 Sb., o zájmovém vzdělávání, ve znění pozdějších předpisů, a vyhláška č. 310/2018 Sb., o krajských normativech, ve znění vyhlášky č. 572/2020 Sb.</dc:description>
  <dc:subject/>
  <cp:keywords/>
  <cp:category/>
  <cp:lastModifiedBy/>
  <dcterms:created xsi:type="dcterms:W3CDTF">2022-09-01T00:00:00+02:00</dcterms:created>
  <dcterms:modified xsi:type="dcterms:W3CDTF">2024-01-07T12:00:06+01:00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