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20. dubna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112/2019 Sb.</w:t>
        </w:r>
      </w:hyperlink>
      <w:r>
        <w:rPr>
          <w:b/>
          <w:bCs/>
        </w:rPr>
        <w:t xml:space="preserve">, o podmínkách použití finančních prostředků Státního fondu rozvoje bydlení na pořízení sociálních a dostupných bytů a sociálních, smíšených a dostupných domů, ve znění nařízení vlády č. </w:t>
      </w:r>
      <w:hyperlink r:id="rId8" w:history="1">
        <w:r>
          <w:rPr>
            <w:color w:val="darkblue"/>
            <w:u w:val="single"/>
          </w:rPr>
          <w:t xml:space="preserve">55/2020 Sb.</w:t>
        </w:r>
      </w:hyperlink>
      <w:r>
        <w:rPr>
          <w:b/>
          <w:bCs/>
        </w:rPr>
        <w:t xml:space="preserve">, a nařízení vlády č. </w:t>
      </w:r>
      <w:hyperlink r:id="rId9" w:history="1">
        <w:r>
          <w:rPr>
            <w:color w:val="darkblue"/>
            <w:u w:val="single"/>
          </w:rPr>
          <w:t xml:space="preserve">2/2021 Sb.</w:t>
        </w:r>
      </w:hyperlink>
      <w:r>
        <w:rPr>
          <w:b/>
          <w:bCs/>
        </w:rPr>
        <w:t xml:space="preserve">, o podmínkách použití peněžních prostředků Státního fondu podpory investic formou úvěru na podporu výstavby nájemních bytů na území České republiky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10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211/2000 Sb.</w:t>
        </w:r>
      </w:hyperlink>
      <w:r>
        <w:rPr/>
        <w:t xml:space="preserve">, o Státním fondu podpory investic, ve znění zákona č. </w:t>
      </w:r>
      <w:hyperlink r:id="rId12" w:history="1">
        <w:r>
          <w:rPr>
            <w:color w:val="darkblue"/>
            <w:u w:val="single"/>
          </w:rPr>
          <w:t xml:space="preserve">61/2005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113/2020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nařízení vlády č. 112/2019 Sb.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112/2019 Sb.</w:t>
        </w:r>
      </w:hyperlink>
      <w:r>
        <w:rPr/>
        <w:t xml:space="preserve">, o podmínkách použití finančních prostředků Státního fondu rozvoje bydlení na pořízení sociálních a dostupných bytů a sociálních, smíšených a dostupných domů, ve znění nařízení vlády č. </w:t>
      </w:r>
      <w:hyperlink r:id="rId8" w:history="1">
        <w:r>
          <w:rPr>
            <w:color w:val="darkblue"/>
            <w:u w:val="single"/>
          </w:rPr>
          <w:t xml:space="preserve">55/2020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názvu nařízení vlády se slova „</w:t>
      </w:r>
      <w:r>
        <w:rPr>
          <w:b/>
          <w:bCs/>
        </w:rPr>
        <w:t xml:space="preserve">rozvoje bydlení</w:t>
      </w:r>
      <w:r>
        <w:rPr/>
        <w:t xml:space="preserve">“ nahrazují slovy „</w:t>
      </w:r>
      <w:r>
        <w:rPr>
          <w:b/>
          <w:bCs/>
        </w:rPr>
        <w:t xml:space="preserve">podpory investic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slova „rozvoje bydlení“ nahrazují slovy „podpory investic“.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se doplňuje odstavec 7, který včetně poznámky pod čarou č. 7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Nájemní smlouvu k sociálnímu bytu lze rovněž uzavřít s osobou, které byla v České republice udělena dočasná ochrana podle zákona o některých opatřeních v souvislosti s ozbrojeným konfliktem na území Ukrajiny vyvolaným invazí vojsk Ruské federace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.</w:t>
      </w:r>
    </w:p>
    <w:p>
      <w:pPr>
        <w:spacing w:after="200"/>
      </w:pPr>
      <w:pPr>
        <w:rPr/>
      </w:pPr>
    </w:p>
    <w:p>
      <w:pPr/>
      <w:r>
        <w:pict>
          <v:shape id="_x0000_s1017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16" w:history="1">
        <w:r>
          <w:rPr>
            <w:color w:val="darkblue"/>
            <w:u w:val="single"/>
          </w:rPr>
          <w:t xml:space="preserve">65/2022 Sb.</w:t>
        </w:r>
      </w:hyperlink>
      <w:r>
        <w:rPr>
          <w:sz w:val="19.200000000000003"/>
          <w:szCs w:val="19.200000000000003"/>
        </w:rPr>
        <w:t xml:space="preserve">, o některých opatřeních v souvislosti s ozbrojeným konfliktem na území Ukrajiny vyvolaným invazí vojsk Ruské federace.“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nařízení vlády č. 2/2021 Sb.</w:t>
      </w:r>
    </w:p>
    <w:p>
      <w:pPr>
        <w:pStyle w:val="Heading2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Nařízení vlády č. </w:t>
      </w:r>
      <w:hyperlink r:id="rId9" w:history="1">
        <w:r>
          <w:rPr>
            <w:color w:val="darkblue"/>
            <w:u w:val="single"/>
          </w:rPr>
          <w:t xml:space="preserve">2/2021 Sb.</w:t>
        </w:r>
      </w:hyperlink>
      <w:r>
        <w:rPr/>
        <w:t xml:space="preserve">, o podmínkách použití peněžních prostředků Státního fondu podpory investic formou úvěru na podporu výstavby nájemních bytů na území České republiky,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se na konci písmene d) slovo „nebo“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na konci odstavce 1 tečka nahrazuje slovem „ , nebo“ a doplňuje se písmeno f), které včetně poznámky pod čarou č. 9 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„f)</w:t>
      </w:r>
      <w:r>
        <w:rPr/>
        <w:t xml:space="preserve">	</w:t>
      </w:r>
      <w:r>
        <w:rPr/>
        <w:t xml:space="preserve">je osobou, které byla v České republice udělena dočasná ochrana podle zákona o některých opatřeních v souvislosti s ozbrojeným konfliktem na území Ukrajiny vyvolaným invazí vojsk Ruské federace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 (dále jen „osoba s dočasnou ochranou“).</w:t>
      </w:r>
    </w:p>
    <w:p>
      <w:pPr>
        <w:spacing w:after="200"/>
      </w:pPr>
      <w:pPr>
        <w:rPr/>
      </w:pPr>
    </w:p>
    <w:p>
      <w:pPr/>
      <w:r>
        <w:pict>
          <v:shape id="_x0000_s1026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16" w:history="1">
        <w:r>
          <w:rPr>
            <w:color w:val="darkblue"/>
            <w:u w:val="single"/>
          </w:rPr>
          <w:t xml:space="preserve">65/2022 Sb.</w:t>
        </w:r>
      </w:hyperlink>
      <w:r>
        <w:rPr>
          <w:sz w:val="19.200000000000003"/>
          <w:szCs w:val="19.200000000000003"/>
        </w:rPr>
        <w:t xml:space="preserve">, o některých opatřeních v souvislosti s ozbrojeným konfliktem na území Ukrajiny vyvolaným invazí vojsk Ruské federace.“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doplňuje odstavec 10,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(10)</w:t>
      </w:r>
      <w:r>
        <w:rPr/>
        <w:t xml:space="preserve"> Na osoby s dočasnou ochranou se po dobu platnosti zákona o některých opatřeních v souvislosti s ozbrojeným konfliktem na území Ukrajiny vyvolaným invazí vojsk Ruské federace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 nepoužije odstavec 2 věta první, jde-li o práva k nemovitostem na území Ukrajiny, a výjimka umožňující podmínit uzavření nájemní smlouvy k bytu složením peněžních prostředků k zajištění nájemného a úhrady za plnění poskytovaná v souvislosti s užíváním bytu a k úhradě jiných závazků v souvislosti s nájmem uvedená v odstavci 3.“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Toto nařízení nabývá účinnosti dnem následujícím po dni 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Místopředseda vlády pro digitalizaci a ministr pro místní rozvoj:</w:t>
      </w:r>
    </w:p>
    <w:p>
      <w:pPr>
        <w:jc w:val="center"/>
        <w:ind w:left="0" w:right="0"/>
        <w:spacing w:after="0"/>
      </w:pPr>
      <w:r>
        <w:rPr/>
        <w:t xml:space="preserve">PhDr. </w:t>
      </w:r>
      <w:r>
        <w:rPr>
          <w:b/>
          <w:bCs/>
        </w:rPr>
        <w:t xml:space="preserve">Bartoš</w:t>
      </w:r>
      <w:r>
        <w:rPr/>
        <w:t xml:space="preserve">, Ph.D., v. r.</w:t>
      </w:r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108/2022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9s112" TargetMode="External"/><Relationship Id="rId8" Type="http://schemas.openxmlformats.org/officeDocument/2006/relationships/hyperlink" Target="https://esipa.cz/sbirka/sbsrv.dll/sb?DR=SB&amp;CP=2020s055" TargetMode="External"/><Relationship Id="rId9" Type="http://schemas.openxmlformats.org/officeDocument/2006/relationships/hyperlink" Target="https://esipa.cz/sbirka/sbsrv.dll/sb?DR=SB&amp;CP=2021s002" TargetMode="External"/><Relationship Id="rId10" Type="http://schemas.openxmlformats.org/officeDocument/2006/relationships/hyperlink" Target="https://esipa.cz/sbirka/sbsrv.dll/sb?DR=AZ&amp;CP=2000s211-2021s261#P9" TargetMode="External"/><Relationship Id="rId11" Type="http://schemas.openxmlformats.org/officeDocument/2006/relationships/hyperlink" Target="https://esipa.cz/sbirka/sbsrv.dll/sb?DR=SB&amp;CP=2000s211" TargetMode="External"/><Relationship Id="rId12" Type="http://schemas.openxmlformats.org/officeDocument/2006/relationships/hyperlink" Target="https://esipa.cz/sbirka/sbsrv.dll/sb?DR=SB&amp;CP=2005s061" TargetMode="External"/><Relationship Id="rId13" Type="http://schemas.openxmlformats.org/officeDocument/2006/relationships/hyperlink" Target="https://esipa.cz/sbirka/sbsrv.dll/sb?DR=SB&amp;CP=2020s113" TargetMode="External"/><Relationship Id="rId14" Type="http://schemas.openxmlformats.org/officeDocument/2006/relationships/hyperlink" Target="https://esipa.cz/sbirka/sbsrv.dll/sb?DR=AZ&amp;CP=2019s112-2020s055#P1" TargetMode="External"/><Relationship Id="rId15" Type="http://schemas.openxmlformats.org/officeDocument/2006/relationships/hyperlink" Target="https://esipa.cz/sbirka/sbsrv.dll/sb?DR=AZ&amp;CP=2019s112-2020s055#P19" TargetMode="External"/><Relationship Id="rId16" Type="http://schemas.openxmlformats.org/officeDocument/2006/relationships/hyperlink" Target="https://esipa.cz/sbirka/sbsrv.dll/sb?DR=SB&amp;CP=2022s065" TargetMode="External"/><Relationship Id="rId17" Type="http://schemas.openxmlformats.org/officeDocument/2006/relationships/hyperlink" Target="https://esipa.cz/sbirka/sbsrv.dll/sb?DR=SB&amp;CP=2021s002#P5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108/2022 Sb. - původní znění</dc:title>
  <dc:description>Nařízení vlády, kterým se mění nařízení vlády č. 112/2019 Sb., o podmínkách použití finančních prostředků Státního fondu rozvoje bydlení na pořízení sociálních a dostupných bytů a sociálních, smíšených a dostupných domů, ve znění nařízení vlády č. 55/2020 Sb., a nařízení vlády č. 2/2021 Sb., o podmínkách použití peněžních prostředků Státního fondu podpory investic formou úvěru na podporu výstavby nájemních bytů na území České republiky</dc:description>
  <dc:subject/>
  <cp:keywords/>
  <cp:category/>
  <cp:lastModifiedBy/>
  <dcterms:created xsi:type="dcterms:W3CDTF">2022-05-06T00:00:00+02:00</dcterms:created>
  <dcterms:modified xsi:type="dcterms:W3CDTF">2022-05-05T10:05:37+02:00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