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109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26. dubna 2022,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kterou se mění vyhláška č. </w:t>
      </w:r>
      <w:hyperlink r:id="rId7" w:history="1">
        <w:r>
          <w:rPr>
            <w:color w:val="darkblue"/>
            <w:u w:val="single"/>
          </w:rPr>
          <w:t xml:space="preserve">74/2014 Sb.</w:t>
        </w:r>
      </w:hyperlink>
      <w:r>
        <w:rPr>
          <w:b/>
          <w:bCs/>
        </w:rPr>
        <w:t xml:space="preserve">, o stanovení druhů příjmu a majetku pro účely automatické výměny informací v rámci mezinárodní spolupráce při správě daní</w:t>
      </w:r>
    </w:p>
    <w:p/>
    <w:p>
      <w:pPr>
        <w:jc w:val="left"/>
        <w:ind w:left="0" w:right="0"/>
        <w:spacing w:after="0"/>
      </w:pPr>
      <w:r>
        <w:rPr/>
        <w:t xml:space="preserve">Ministerstvo financí stanoví podle </w:t>
      </w:r>
      <w:hyperlink r:id="rId8" w:history="1">
        <w:r>
          <w:rPr>
            <w:color w:val="darkblue"/>
            <w:u w:val="single"/>
          </w:rPr>
          <w:t xml:space="preserve">§ 13</w:t>
        </w:r>
      </w:hyperlink>
      <w:r>
        <w:rPr/>
        <w:t xml:space="preserve"> odst. 1 zákona č. </w:t>
      </w:r>
      <w:hyperlink r:id="rId9" w:history="1">
        <w:r>
          <w:rPr>
            <w:color w:val="darkblue"/>
            <w:u w:val="single"/>
          </w:rPr>
          <w:t xml:space="preserve">164/2013 Sb.</w:t>
        </w:r>
      </w:hyperlink>
      <w:r>
        <w:rPr/>
        <w:t xml:space="preserve">, o mezinárodní spolupráci při správě daní a o změně dalších souvisejících zákonů, ve znění zákona č. </w:t>
      </w:r>
      <w:hyperlink r:id="rId10" w:history="1">
        <w:r>
          <w:rPr>
            <w:color w:val="darkblue"/>
            <w:u w:val="single"/>
          </w:rPr>
          <w:t xml:space="preserve">92/2017 Sb.</w:t>
        </w:r>
      </w:hyperlink>
      <w:r>
        <w:rPr/>
        <w:t xml:space="preserve">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Vyhláška č. </w:t>
      </w:r>
      <w:hyperlink r:id="rId7" w:history="1">
        <w:r>
          <w:rPr>
            <w:color w:val="darkblue"/>
            <w:u w:val="single"/>
          </w:rPr>
          <w:t xml:space="preserve">74/2014 Sb.</w:t>
        </w:r>
      </w:hyperlink>
      <w:r>
        <w:rPr/>
        <w:t xml:space="preserve">, o stanovení druhů příjmu a majetku pro účely automatické výměny informací v rámci mezinárodní spolupráce při správě daní,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Na konci poznámky pod čarou č. 1 se na samostatný řádek doplňuje věta „Směrnice Rady </w:t>
      </w:r>
      <w:hyperlink r:id="rId11" w:history="1">
        <w:r>
          <w:rPr>
            <w:color w:val="darkblue"/>
            <w:u w:val="single"/>
          </w:rPr>
          <w:t xml:space="preserve">(EU) 2021/514</w:t>
        </w:r>
      </w:hyperlink>
      <w:r>
        <w:rPr/>
        <w:t xml:space="preserve"> ze dne 22. března 2021, kterou se mění směrnice </w:t>
      </w:r>
      <w:hyperlink r:id="rId12" w:history="1">
        <w:r>
          <w:rPr>
            <w:color w:val="darkblue"/>
            <w:u w:val="single"/>
          </w:rPr>
          <w:t xml:space="preserve">2011/16/EU</w:t>
        </w:r>
      </w:hyperlink>
      <w:r>
        <w:rPr/>
        <w:t xml:space="preserve"> o správní spolupráci v oblasti daní.“.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13" w:history="1">
        <w:r>
          <w:rPr>
            <w:color w:val="darkblue"/>
            <w:u w:val="single"/>
          </w:rPr>
          <w:t xml:space="preserve">§ 1</w:t>
        </w:r>
      </w:hyperlink>
      <w:r>
        <w:rPr/>
        <w:t xml:space="preserve"> písm. a) bodě 4 se slovo „a“ nahrazuje čárkou.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 </w:t>
      </w:r>
      <w:hyperlink r:id="rId13" w:history="1">
        <w:r>
          <w:rPr>
            <w:color w:val="darkblue"/>
            <w:u w:val="single"/>
          </w:rPr>
          <w:t xml:space="preserve">§ 1</w:t>
        </w:r>
      </w:hyperlink>
      <w:r>
        <w:rPr/>
        <w:t xml:space="preserve"> písm. a) bodě 5 se slova „smlouvy a“ nahrazují slovem „smlouvy,“.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V </w:t>
      </w:r>
      <w:hyperlink r:id="rId13" w:history="1">
        <w:r>
          <w:rPr>
            <w:color w:val="darkblue"/>
            <w:u w:val="single"/>
          </w:rPr>
          <w:t xml:space="preserve">§ 1</w:t>
        </w:r>
      </w:hyperlink>
      <w:r>
        <w:rPr/>
        <w:t xml:space="preserve"> se na konci písmene a) doplňuje bod 6, který zní: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„6.</w:t>
      </w:r>
      <w:r>
        <w:rPr/>
        <w:t xml:space="preserve">	</w:t>
      </w:r>
      <w:r>
        <w:rPr/>
        <w:t xml:space="preserve">příjem z licenčních poplatků,“</w:t>
      </w:r>
    </w:p>
    <w:p>
      <w:pPr>
        <w:pStyle w:val="Heading1"/>
      </w:pPr>
      <w:r>
        <w:rPr>
          <w:b/>
          <w:bCs/>
        </w:rPr>
        <w:t xml:space="preserve">Čl. II</w:t>
      </w:r>
      <w:r>
        <w:rPr>
          <w:rStyle w:val="hidden"/>
        </w:rPr>
        <w:t xml:space="preserve"> -</w:t>
      </w:r>
      <w:br/>
      <w:r>
        <w:rPr/>
        <w:t xml:space="preserve">Přechodné ustanovení</w:t>
      </w:r>
    </w:p>
    <w:p>
      <w:pPr>
        <w:ind w:left="0" w:right="0"/>
      </w:pPr>
      <w:r>
        <w:rPr/>
        <w:t xml:space="preserve">Ustanovení </w:t>
      </w:r>
      <w:hyperlink r:id="rId13" w:history="1">
        <w:r>
          <w:rPr>
            <w:color w:val="darkblue"/>
            <w:u w:val="single"/>
          </w:rPr>
          <w:t xml:space="preserve">§ 1</w:t>
        </w:r>
      </w:hyperlink>
      <w:r>
        <w:rPr/>
        <w:t xml:space="preserve"> písm. a) bodu 6 vyhlášky č. </w:t>
      </w:r>
      <w:hyperlink r:id="rId7" w:history="1">
        <w:r>
          <w:rPr>
            <w:color w:val="darkblue"/>
            <w:u w:val="single"/>
          </w:rPr>
          <w:t xml:space="preserve">74/2014 Sb.</w:t>
        </w:r>
      </w:hyperlink>
      <w:r>
        <w:rPr/>
        <w:t xml:space="preserve">, ve znění účinném ode dne nabytí účinnosti této vyhlášky, se nepoužije přede dnem zprovoznění systému pro předávání informací o příjmu z licenčních poplatků prostřednictvím společné komunikační sítě.</w:t>
      </w:r>
    </w:p>
    <w:p>
      <w:pPr>
        <w:pStyle w:val="Heading1"/>
      </w:pPr>
      <w:r>
        <w:rPr>
          <w:b/>
          <w:bCs/>
        </w:rPr>
        <w:t xml:space="preserve">Čl. III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Tato vyhláška nabývá účinnosti dnem 1. ledna 2023.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 financí: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Stanjura</w:t>
      </w:r>
      <w:r>
        <w:rPr/>
        <w:t xml:space="preserve"> v. r.</w:t>
      </w:r>
    </w:p>
    <w:sectPr>
      <w:headerReference w:type="default" r:id="rId14"/>
      <w:footerReference w:type="default" r:id="rId15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109/2022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14s074" TargetMode="External"/><Relationship Id="rId8" Type="http://schemas.openxmlformats.org/officeDocument/2006/relationships/hyperlink" Target="https://esipa.cz/sbirka/sbsrv.dll/sb?DR=AZ&amp;CP=2013s164-2020s527_20210601#P13" TargetMode="External"/><Relationship Id="rId9" Type="http://schemas.openxmlformats.org/officeDocument/2006/relationships/hyperlink" Target="https://esipa.cz/sbirka/sbsrv.dll/sb?DR=SB&amp;CP=2013s164" TargetMode="External"/><Relationship Id="rId10" Type="http://schemas.openxmlformats.org/officeDocument/2006/relationships/hyperlink" Target="https://esipa.cz/sbirka/sbsrv.dll/sb?DR=SB&amp;CP=2017s092" TargetMode="External"/><Relationship Id="rId11" Type="http://schemas.openxmlformats.org/officeDocument/2006/relationships/hyperlink" Target="https://esipa.cz/sbirka/sbsrv.dll/sb?DR=SB&amp;CP=32021L0514" TargetMode="External"/><Relationship Id="rId12" Type="http://schemas.openxmlformats.org/officeDocument/2006/relationships/hyperlink" Target="https://esipa.cz/sbirka/sbsrv.dll/sb?DR=SB&amp;CP=32011L0016" TargetMode="External"/><Relationship Id="rId13" Type="http://schemas.openxmlformats.org/officeDocument/2006/relationships/hyperlink" Target="https://esipa.cz/sbirka/sbsrv.dll/sb?DR=SB&amp;CP=2014s074#P001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109/2022 Sb. - původní znění</dc:title>
  <dc:description>Vyhláška, kterou se mění vyhláška č. 74/2014 Sb., o stanovení druhů příjmu a majetku pro účely automatické výměny informací v rámci mezinárodní spolupráce při správě daní</dc:description>
  <dc:subject/>
  <cp:keywords/>
  <cp:category/>
  <cp:lastModifiedBy/>
  <dcterms:created xsi:type="dcterms:W3CDTF">2023-01-01T00:00:00+01:00</dcterms:created>
  <dcterms:modified xsi:type="dcterms:W3CDTF">2022-06-03T15:35:04+02:00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