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404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8. listopadu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Programu statistických zjišťování na rok 2022</w:t>
      </w:r>
    </w:p>
    <w:p/>
    <w:p>
      <w:pPr>
        <w:jc w:val="left"/>
        <w:ind w:left="0" w:right="0"/>
        <w:spacing w:after="0"/>
      </w:pPr>
      <w:r>
        <w:rPr/>
        <w:t xml:space="preserve">Český statistický úřad stanoví podle </w:t>
      </w:r>
      <w:hyperlink r:id="rId7" w:history="1">
        <w:r>
          <w:rPr>
            <w:color w:val="darkblue"/>
            <w:u w:val="single"/>
          </w:rPr>
          <w:t xml:space="preserve">§ 27</w:t>
        </w:r>
      </w:hyperlink>
      <w:r>
        <w:rPr/>
        <w:t xml:space="preserve"> písm. b) zákona č. </w:t>
      </w:r>
      <w:hyperlink r:id="rId8" w:history="1">
        <w:r>
          <w:rPr>
            <w:color w:val="darkblue"/>
            <w:u w:val="single"/>
          </w:rPr>
          <w:t xml:space="preserve">89/1995 Sb.</w:t>
        </w:r>
      </w:hyperlink>
      <w:r>
        <w:rPr/>
        <w:t xml:space="preserve">, o státní statistické službě, ve znění zákona č. </w:t>
      </w:r>
      <w:hyperlink r:id="rId9" w:history="1">
        <w:r>
          <w:rPr>
            <w:color w:val="darkblue"/>
            <w:u w:val="single"/>
          </w:rPr>
          <w:t xml:space="preserve">411/2000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Tato vyhláška zapracovává příslušné předpisy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, zároveň navazuje na přímo použitelné předpisy Evropské unie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a stanoví Program statistických zjišťování na rok 2022, který je uveden v přílohách č. 1 a 2 k této vyhlášce.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Rojíček</w:t>
      </w:r>
      <w:r>
        <w:rPr/>
        <w:t xml:space="preserve">, Ph.D., v. r.</w:t>
      </w:r>
    </w:p>
    <w:p>
      <w:pPr>
        <w:spacing w:after="200"/>
      </w:pPr>
      <w:pPr>
        <w:rPr/>
      </w:pPr>
    </w:p>
    <w:p>
      <w:pPr/>
      <w:r>
        <w:pict>
          <v:shape id="_x0000_s1017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Směrnice Rady č. </w:t>
      </w:r>
      <w:hyperlink r:id="rId10" w:history="1">
        <w:r>
          <w:rPr>
            <w:color w:val="darkblue"/>
            <w:u w:val="single"/>
          </w:rPr>
          <w:t xml:space="preserve">96/16/ES</w:t>
        </w:r>
      </w:hyperlink>
      <w:r>
        <w:rPr>
          <w:sz w:val="19.200000000000003"/>
          <w:szCs w:val="19.200000000000003"/>
        </w:rPr>
        <w:t xml:space="preserve"> ze dne 19. března 1996 o statistických zjišťováních o mléku a mléčných výrobcích, ve znění směrnice Evropského parlamentu a Rady </w:t>
      </w:r>
      <w:hyperlink r:id="rId11" w:history="1">
        <w:r>
          <w:rPr>
            <w:color w:val="darkblue"/>
            <w:u w:val="single"/>
          </w:rPr>
          <w:t xml:space="preserve">2003/107/ES</w:t>
        </w:r>
      </w:hyperlink>
      <w:r>
        <w:rPr>
          <w:sz w:val="19.200000000000003"/>
          <w:szCs w:val="19.200000000000003"/>
        </w:rPr>
        <w:t xml:space="preserve">, nařízení Evropského parlamentu a Rady </w:t>
      </w:r>
      <w:hyperlink r:id="rId12" w:history="1">
        <w:r>
          <w:rPr>
            <w:color w:val="darkblue"/>
            <w:u w:val="single"/>
          </w:rPr>
          <w:t xml:space="preserve">(ES) č. 1882/2003</w:t>
        </w:r>
      </w:hyperlink>
      <w:r>
        <w:rPr>
          <w:sz w:val="19.200000000000003"/>
          <w:szCs w:val="19.200000000000003"/>
        </w:rPr>
        <w:t xml:space="preserve"> a nařízení Evropského parlamentu a Rady </w:t>
      </w:r>
      <w:hyperlink r:id="rId13" w:history="1">
        <w:r>
          <w:rPr>
            <w:color w:val="darkblue"/>
            <w:u w:val="single"/>
          </w:rPr>
          <w:t xml:space="preserve">(ES) č. 219/2009</w:t>
        </w:r>
      </w:hyperlink>
      <w:r>
        <w:rPr>
          <w:sz w:val="19.200000000000003"/>
          <w:szCs w:val="19.200000000000003"/>
        </w:rPr>
        <w:t xml:space="preserve"> a nařízení Evropského parlamentu a Rady </w:t>
      </w:r>
      <w:hyperlink r:id="rId14" w:history="1">
        <w:r>
          <w:rPr>
            <w:color w:val="darkblue"/>
            <w:u w:val="single"/>
          </w:rPr>
          <w:t xml:space="preserve">(EU) č. 1350/2013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Směrnice Rady </w:t>
      </w:r>
      <w:hyperlink r:id="rId15" w:history="1">
        <w:r>
          <w:rPr>
            <w:color w:val="darkblue"/>
            <w:u w:val="single"/>
          </w:rPr>
          <w:t xml:space="preserve">91/271/EHS</w:t>
        </w:r>
      </w:hyperlink>
      <w:r>
        <w:rPr>
          <w:sz w:val="19.200000000000003"/>
          <w:szCs w:val="19.200000000000003"/>
        </w:rPr>
        <w:t xml:space="preserve"> ze dne 21. května 1991 o čištění městských odpadních vod, ve znění směrnice Komise </w:t>
      </w:r>
      <w:hyperlink r:id="rId16" w:history="1">
        <w:r>
          <w:rPr>
            <w:color w:val="darkblue"/>
            <w:u w:val="single"/>
          </w:rPr>
          <w:t xml:space="preserve">98/15/ES</w:t>
        </w:r>
      </w:hyperlink>
      <w:r>
        <w:rPr>
          <w:sz w:val="19.200000000000003"/>
          <w:szCs w:val="19.200000000000003"/>
        </w:rPr>
        <w:t xml:space="preserve">, nařízení Evropského parlamentu a Rady </w:t>
      </w:r>
      <w:hyperlink r:id="rId12" w:history="1">
        <w:r>
          <w:rPr>
            <w:color w:val="darkblue"/>
            <w:u w:val="single"/>
          </w:rPr>
          <w:t xml:space="preserve">(ES) č. 1882/2003</w:t>
        </w:r>
      </w:hyperlink>
      <w:r>
        <w:rPr>
          <w:sz w:val="19.200000000000003"/>
          <w:szCs w:val="19.200000000000003"/>
        </w:rPr>
        <w:t xml:space="preserve">, nařízení Evropského parlamentu a Rady </w:t>
      </w:r>
      <w:hyperlink r:id="rId17" w:history="1">
        <w:r>
          <w:rPr>
            <w:color w:val="darkblue"/>
            <w:u w:val="single"/>
          </w:rPr>
          <w:t xml:space="preserve">(ES) č. 1137/2008</w:t>
        </w:r>
      </w:hyperlink>
      <w:r>
        <w:rPr>
          <w:sz w:val="19.200000000000003"/>
          <w:szCs w:val="19.200000000000003"/>
        </w:rPr>
        <w:t xml:space="preserve"> a směrnice Rady </w:t>
      </w:r>
      <w:hyperlink r:id="rId18" w:history="1">
        <w:r>
          <w:rPr>
            <w:color w:val="darkblue"/>
            <w:u w:val="single"/>
          </w:rPr>
          <w:t xml:space="preserve">2013/64/EU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Směrnice Rady </w:t>
      </w:r>
      <w:hyperlink r:id="rId19" w:history="1">
        <w:r>
          <w:rPr>
            <w:color w:val="darkblue"/>
            <w:u w:val="single"/>
          </w:rPr>
          <w:t xml:space="preserve">2009/119/ES</w:t>
        </w:r>
      </w:hyperlink>
      <w:r>
        <w:rPr>
          <w:sz w:val="19.200000000000003"/>
          <w:szCs w:val="19.200000000000003"/>
        </w:rPr>
        <w:t xml:space="preserve"> ze dne 14. září 2009, kterou se členským státům ukládá povinnost udržovat minimální zásoby ropy nebo ropných produktů, ve znění prováděcí směrnice Komise </w:t>
      </w:r>
      <w:hyperlink r:id="rId20" w:history="1">
        <w:r>
          <w:rPr>
            <w:color w:val="darkblue"/>
            <w:u w:val="single"/>
          </w:rPr>
          <w:t xml:space="preserve">(EU) 2018/1581</w:t>
        </w:r>
      </w:hyperlink>
      <w:r>
        <w:rPr>
          <w:sz w:val="19.200000000000003"/>
          <w:szCs w:val="19.200000000000003"/>
        </w:rPr>
        <w:t xml:space="preserve"> a nařízení Evropského parlamentu a Rady </w:t>
      </w:r>
      <w:hyperlink r:id="rId21" w:history="1">
        <w:r>
          <w:rPr>
            <w:color w:val="darkblue"/>
            <w:u w:val="single"/>
          </w:rPr>
          <w:t xml:space="preserve">(EU) 2018/1999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22" w:history="1">
        <w:r>
          <w:rPr>
            <w:color w:val="darkblue"/>
            <w:u w:val="single"/>
          </w:rPr>
          <w:t xml:space="preserve">(ES) č. 1338/2008</w:t>
        </w:r>
      </w:hyperlink>
      <w:r>
        <w:rPr>
          <w:sz w:val="19.200000000000003"/>
          <w:szCs w:val="19.200000000000003"/>
        </w:rPr>
        <w:t xml:space="preserve"> ze dne 16. prosince 2008 o statistice Společenství v oblasti veřejného zdraví a bezpečnosti a ochrany zdraví při práci,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23" w:history="1">
        <w:r>
          <w:rPr>
            <w:color w:val="darkblue"/>
            <w:u w:val="single"/>
          </w:rPr>
          <w:t xml:space="preserve">(EU) č. 328/2011</w:t>
        </w:r>
      </w:hyperlink>
      <w:r>
        <w:rPr>
          <w:sz w:val="19.200000000000003"/>
          <w:szCs w:val="19.200000000000003"/>
        </w:rPr>
        <w:t xml:space="preserve"> ze dne 5. dubna 2011, kterým se provádí nařízení Evropského parlamentu a Rady </w:t>
      </w:r>
      <w:hyperlink r:id="rId22" w:history="1">
        <w:r>
          <w:rPr>
            <w:color w:val="darkblue"/>
            <w:u w:val="single"/>
          </w:rPr>
          <w:t xml:space="preserve">(ES) č. 1338/2008</w:t>
        </w:r>
      </w:hyperlink>
      <w:r>
        <w:rPr>
          <w:sz w:val="19.200000000000003"/>
          <w:szCs w:val="19.200000000000003"/>
        </w:rPr>
        <w:t xml:space="preserve"> o statistice Společenství v oblasti veřejného zdraví a bezpečnosti a ochrany zdraví při práci, pokud jde o statistiky příčin smrti.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24" w:history="1">
        <w:r>
          <w:rPr>
            <w:color w:val="darkblue"/>
            <w:u w:val="single"/>
          </w:rPr>
          <w:t xml:space="preserve">(EU) č. 1260/2013</w:t>
        </w:r>
      </w:hyperlink>
      <w:r>
        <w:rPr>
          <w:sz w:val="19.200000000000003"/>
          <w:szCs w:val="19.200000000000003"/>
        </w:rPr>
        <w:t xml:space="preserve"> ze dne 20. listopadu 2013 o evropské demografické statistice.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25" w:history="1">
        <w:r>
          <w:rPr>
            <w:color w:val="darkblue"/>
            <w:u w:val="single"/>
          </w:rPr>
          <w:t xml:space="preserve">(EU) č. 205/2014</w:t>
        </w:r>
      </w:hyperlink>
      <w:r>
        <w:rPr>
          <w:sz w:val="19.200000000000003"/>
          <w:szCs w:val="19.200000000000003"/>
        </w:rPr>
        <w:t xml:space="preserve"> ze dne 4. března 2014, kterým se stanoví jednotné podmínky pro provádění nařízení Evropského parlamentu a Rady </w:t>
      </w:r>
      <w:hyperlink r:id="rId24" w:history="1">
        <w:r>
          <w:rPr>
            <w:color w:val="darkblue"/>
            <w:u w:val="single"/>
          </w:rPr>
          <w:t xml:space="preserve">(EU) č. 1260/2013</w:t>
        </w:r>
      </w:hyperlink>
      <w:r>
        <w:rPr>
          <w:sz w:val="19.200000000000003"/>
          <w:szCs w:val="19.200000000000003"/>
        </w:rPr>
        <w:t xml:space="preserve"> o evropské demografické statistice, pokud jde o členění údajů, lhůty a revize údajů.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26" w:history="1">
        <w:r>
          <w:rPr>
            <w:color w:val="darkblue"/>
            <w:u w:val="single"/>
          </w:rPr>
          <w:t xml:space="preserve">(ES) č. 138/2004</w:t>
        </w:r>
      </w:hyperlink>
      <w:r>
        <w:rPr>
          <w:sz w:val="19.200000000000003"/>
          <w:szCs w:val="19.200000000000003"/>
        </w:rPr>
        <w:t xml:space="preserve"> ze dne 5. prosince 2003 o souhrnném zemědělském účtu ve Společenství,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27" w:history="1">
        <w:r>
          <w:rPr>
            <w:color w:val="darkblue"/>
            <w:u w:val="single"/>
          </w:rPr>
          <w:t xml:space="preserve">(ES) č. 1165/2008</w:t>
        </w:r>
      </w:hyperlink>
      <w:r>
        <w:rPr>
          <w:sz w:val="19.200000000000003"/>
          <w:szCs w:val="19.200000000000003"/>
        </w:rPr>
        <w:t xml:space="preserve"> ze dne 19. listopadu 2008 o statistice chovu hospodářských zvířat a produkce masa a o zrušení směrnic Rady </w:t>
      </w:r>
      <w:hyperlink r:id="rId28" w:history="1">
        <w:r>
          <w:rPr>
            <w:color w:val="darkblue"/>
            <w:u w:val="single"/>
          </w:rPr>
          <w:t xml:space="preserve">93/23/EHS</w:t>
        </w:r>
      </w:hyperlink>
      <w:r>
        <w:rPr>
          <w:sz w:val="19.200000000000003"/>
          <w:szCs w:val="19.200000000000003"/>
        </w:rPr>
        <w:t xml:space="preserve">, </w:t>
      </w:r>
      <w:hyperlink r:id="rId29" w:history="1">
        <w:r>
          <w:rPr>
            <w:color w:val="darkblue"/>
            <w:u w:val="single"/>
          </w:rPr>
          <w:t xml:space="preserve">93/24/EHS</w:t>
        </w:r>
      </w:hyperlink>
      <w:r>
        <w:rPr>
          <w:sz w:val="19.200000000000003"/>
          <w:szCs w:val="19.200000000000003"/>
        </w:rPr>
        <w:t xml:space="preserve"> a </w:t>
      </w:r>
      <w:hyperlink r:id="rId30" w:history="1">
        <w:r>
          <w:rPr>
            <w:color w:val="darkblue"/>
            <w:u w:val="single"/>
          </w:rPr>
          <w:t xml:space="preserve">93/25/EHS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31" w:history="1">
        <w:r>
          <w:rPr>
            <w:color w:val="darkblue"/>
            <w:u w:val="single"/>
          </w:rPr>
          <w:t xml:space="preserve">(ES) č. 543/2009</w:t>
        </w:r>
      </w:hyperlink>
      <w:r>
        <w:rPr>
          <w:sz w:val="19.200000000000003"/>
          <w:szCs w:val="19.200000000000003"/>
        </w:rPr>
        <w:t xml:space="preserve"> ze dne 18. června 2009 o statistice plodin a o zrušení nařízení Rady </w:t>
      </w:r>
      <w:hyperlink r:id="rId32" w:history="1">
        <w:r>
          <w:rPr>
            <w:color w:val="darkblue"/>
            <w:u w:val="single"/>
          </w:rPr>
          <w:t xml:space="preserve">(EHS) č. 837/90</w:t>
        </w:r>
      </w:hyperlink>
      <w:r>
        <w:rPr>
          <w:sz w:val="19.200000000000003"/>
          <w:szCs w:val="19.200000000000003"/>
        </w:rPr>
        <w:t xml:space="preserve"> a </w:t>
      </w:r>
      <w:hyperlink r:id="rId33" w:history="1">
        <w:r>
          <w:rPr>
            <w:color w:val="darkblue"/>
            <w:u w:val="single"/>
          </w:rPr>
          <w:t xml:space="preserve">(EHS) č. 959/93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34" w:history="1">
        <w:r>
          <w:rPr>
            <w:color w:val="darkblue"/>
            <w:u w:val="single"/>
          </w:rPr>
          <w:t xml:space="preserve">(EU) 2017/1185</w:t>
        </w:r>
      </w:hyperlink>
      <w:r>
        <w:rPr>
          <w:sz w:val="19.200000000000003"/>
          <w:szCs w:val="19.200000000000003"/>
        </w:rPr>
        <w:t xml:space="preserve"> ze dne 20. dubna 2017, kterým se stanoví prováděcí pravidla k nařízením Evropského parlamentu a Rady </w:t>
      </w:r>
      <w:hyperlink r:id="rId35" w:history="1">
        <w:r>
          <w:rPr>
            <w:color w:val="darkblue"/>
            <w:u w:val="single"/>
          </w:rPr>
          <w:t xml:space="preserve">(EU) č. 1307/2013</w:t>
        </w:r>
      </w:hyperlink>
      <w:r>
        <w:rPr>
          <w:sz w:val="19.200000000000003"/>
          <w:szCs w:val="19.200000000000003"/>
        </w:rPr>
        <w:t xml:space="preserve"> a </w:t>
      </w:r>
      <w:hyperlink r:id="rId36" w:history="1">
        <w:r>
          <w:rPr>
            <w:color w:val="darkblue"/>
            <w:u w:val="single"/>
          </w:rPr>
          <w:t xml:space="preserve">(EU) č. 1308/2013</w:t>
        </w:r>
      </w:hyperlink>
      <w:r>
        <w:rPr>
          <w:sz w:val="19.200000000000003"/>
          <w:szCs w:val="19.200000000000003"/>
        </w:rPr>
        <w:t xml:space="preserve">, pokud jde o oznamování informací a dokumentů Komisi, a kterým se mění a ruší několik nařízení Komise,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37" w:history="1">
        <w:r>
          <w:rPr>
            <w:color w:val="darkblue"/>
            <w:u w:val="single"/>
          </w:rPr>
          <w:t xml:space="preserve">(ES) č. 2150/2002</w:t>
        </w:r>
      </w:hyperlink>
      <w:r>
        <w:rPr>
          <w:sz w:val="19.200000000000003"/>
          <w:szCs w:val="19.200000000000003"/>
        </w:rPr>
        <w:t xml:space="preserve"> ze dne 25. listopadu 2002 o statistice odpadů,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38" w:history="1">
        <w:r>
          <w:rPr>
            <w:color w:val="darkblue"/>
            <w:u w:val="single"/>
          </w:rPr>
          <w:t xml:space="preserve">(EU) č. 691/2011</w:t>
        </w:r>
      </w:hyperlink>
      <w:r>
        <w:rPr>
          <w:sz w:val="19.200000000000003"/>
          <w:szCs w:val="19.200000000000003"/>
        </w:rPr>
        <w:t xml:space="preserve"> ze dne 6. července 2011 o evropských environmentálních hospodářských účtech,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Rady </w:t>
      </w:r>
      <w:hyperlink r:id="rId39" w:history="1">
        <w:r>
          <w:rPr>
            <w:color w:val="darkblue"/>
            <w:u w:val="single"/>
          </w:rPr>
          <w:t xml:space="preserve">(ES) č. 2964/95</w:t>
        </w:r>
      </w:hyperlink>
      <w:r>
        <w:rPr>
          <w:sz w:val="19.200000000000003"/>
          <w:szCs w:val="19.200000000000003"/>
        </w:rPr>
        <w:t xml:space="preserve"> ze dne 20. prosince 1995, kterým se zavádí registrace dovozu a dodávek ropy ve Společenství.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0" w:history="1">
        <w:r>
          <w:rPr>
            <w:color w:val="darkblue"/>
            <w:u w:val="single"/>
          </w:rPr>
          <w:t xml:space="preserve">(ES) č. 1099/2008</w:t>
        </w:r>
      </w:hyperlink>
      <w:r>
        <w:rPr>
          <w:sz w:val="19.200000000000003"/>
          <w:szCs w:val="19.200000000000003"/>
        </w:rPr>
        <w:t xml:space="preserve"> ze dne 22. října 2008 o energetické statistice,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1" w:history="1">
        <w:r>
          <w:rPr>
            <w:color w:val="darkblue"/>
            <w:u w:val="single"/>
          </w:rPr>
          <w:t xml:space="preserve">(EU) 2016/1952</w:t>
        </w:r>
      </w:hyperlink>
      <w:r>
        <w:rPr>
          <w:sz w:val="19.200000000000003"/>
          <w:szCs w:val="19.200000000000003"/>
        </w:rPr>
        <w:t xml:space="preserve"> ze dne 26. října 2016 o evropských statistikách cen zemního plynu a elektřiny a o zrušení směrnice </w:t>
      </w:r>
      <w:hyperlink r:id="rId42" w:history="1">
        <w:r>
          <w:rPr>
            <w:color w:val="darkblue"/>
            <w:u w:val="single"/>
          </w:rPr>
          <w:t xml:space="preserve">2008/92/ES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43" w:history="1">
        <w:r>
          <w:rPr>
            <w:color w:val="darkblue"/>
            <w:u w:val="single"/>
          </w:rPr>
          <w:t xml:space="preserve">(EU) 2019/803</w:t>
        </w:r>
      </w:hyperlink>
      <w:r>
        <w:rPr>
          <w:sz w:val="19.200000000000003"/>
          <w:szCs w:val="19.200000000000003"/>
        </w:rPr>
        <w:t xml:space="preserve"> ze dne 17. května 2019 o technických požadavcích na obsah zpráv o kvalitě evropských statistik cen zemního plynu a elektřiny podle nařízení Evropského parlamentu a Rady </w:t>
      </w:r>
      <w:hyperlink r:id="rId41" w:history="1">
        <w:r>
          <w:rPr>
            <w:color w:val="darkblue"/>
            <w:u w:val="single"/>
          </w:rPr>
          <w:t xml:space="preserve">(EU) 2016/1952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Rady </w:t>
      </w:r>
      <w:hyperlink r:id="rId44" w:history="1">
        <w:r>
          <w:rPr>
            <w:color w:val="darkblue"/>
            <w:u w:val="single"/>
          </w:rPr>
          <w:t xml:space="preserve">(ES) č. 479/2009</w:t>
        </w:r>
      </w:hyperlink>
      <w:r>
        <w:rPr>
          <w:sz w:val="19.200000000000003"/>
          <w:szCs w:val="19.200000000000003"/>
        </w:rPr>
        <w:t xml:space="preserve"> ze dne 25. května 2009 o použití Protokolu o postupu při nadměrném schodku, připojeného ke Smlouvě o založení Evropského společenství,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5" w:history="1">
        <w:r>
          <w:rPr>
            <w:color w:val="darkblue"/>
            <w:u w:val="single"/>
          </w:rPr>
          <w:t xml:space="preserve">(EU) č. 549/2013</w:t>
        </w:r>
      </w:hyperlink>
      <w:r>
        <w:rPr>
          <w:sz w:val="19.200000000000003"/>
          <w:szCs w:val="19.200000000000003"/>
        </w:rPr>
        <w:t xml:space="preserve"> ze dne 21. května 2013 o Evropském systému národních a regionálních účtů v Evropské unii,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6" w:history="1">
        <w:r>
          <w:rPr>
            <w:color w:val="darkblue"/>
            <w:u w:val="single"/>
          </w:rPr>
          <w:t xml:space="preserve">(ES) č. 437/2003</w:t>
        </w:r>
      </w:hyperlink>
      <w:r>
        <w:rPr>
          <w:sz w:val="19.200000000000003"/>
          <w:szCs w:val="19.200000000000003"/>
        </w:rPr>
        <w:t xml:space="preserve"> ze dne 27. února 2003 o statistickém vykazování letecké přepravy cestujících, zboží a poštovních zásilek,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7" w:history="1">
        <w:r>
          <w:rPr>
            <w:color w:val="darkblue"/>
            <w:u w:val="single"/>
          </w:rPr>
          <w:t xml:space="preserve">(EU) č. 70/2012</w:t>
        </w:r>
      </w:hyperlink>
      <w:r>
        <w:rPr>
          <w:sz w:val="19.200000000000003"/>
          <w:szCs w:val="19.200000000000003"/>
        </w:rPr>
        <w:t xml:space="preserve"> ze dne 18. ledna 2012 o statistickém vykazování silniční přepravy zboží,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8" w:history="1">
        <w:r>
          <w:rPr>
            <w:color w:val="darkblue"/>
            <w:u w:val="single"/>
          </w:rPr>
          <w:t xml:space="preserve">(EU) č. 2018/643</w:t>
        </w:r>
      </w:hyperlink>
      <w:r>
        <w:rPr>
          <w:sz w:val="19.200000000000003"/>
          <w:szCs w:val="19.200000000000003"/>
        </w:rPr>
        <w:t xml:space="preserve"> ze dne 18. dubna 2018 o statistice železniční dopravy.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49" w:history="1">
        <w:r>
          <w:rPr>
            <w:color w:val="darkblue"/>
            <w:u w:val="single"/>
          </w:rPr>
          <w:t xml:space="preserve">(EU) č. 2018/974</w:t>
        </w:r>
      </w:hyperlink>
      <w:r>
        <w:rPr>
          <w:sz w:val="19.200000000000003"/>
          <w:szCs w:val="19.200000000000003"/>
        </w:rPr>
        <w:t xml:space="preserve"> ze dne 4. července 2018 o statistice přepravy věcí po vnitrozemských vodních cestách.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Rady </w:t>
      </w:r>
      <w:hyperlink r:id="rId50" w:history="1">
        <w:r>
          <w:rPr>
            <w:color w:val="darkblue"/>
            <w:u w:val="single"/>
          </w:rPr>
          <w:t xml:space="preserve">(ES) č. 1165/98</w:t>
        </w:r>
      </w:hyperlink>
      <w:r>
        <w:rPr>
          <w:sz w:val="19.200000000000003"/>
          <w:szCs w:val="19.200000000000003"/>
        </w:rPr>
        <w:t xml:space="preserve"> ze dne 19. května 1998 o konjunkturálních statistikách,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Rady </w:t>
      </w:r>
      <w:hyperlink r:id="rId51" w:history="1">
        <w:r>
          <w:rPr>
            <w:color w:val="darkblue"/>
            <w:u w:val="single"/>
          </w:rPr>
          <w:t xml:space="preserve">(ES) č. 530/1999</w:t>
        </w:r>
      </w:hyperlink>
      <w:r>
        <w:rPr>
          <w:sz w:val="19.200000000000003"/>
          <w:szCs w:val="19.200000000000003"/>
        </w:rPr>
        <w:t xml:space="preserve"> ze dne 9. března 1999 o strukturální statistice výdělků a nákladů práce,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52" w:history="1">
        <w:r>
          <w:rPr>
            <w:color w:val="darkblue"/>
            <w:u w:val="single"/>
          </w:rPr>
          <w:t xml:space="preserve">(ES) č. 1726/1999</w:t>
        </w:r>
      </w:hyperlink>
      <w:r>
        <w:rPr>
          <w:sz w:val="19.200000000000003"/>
          <w:szCs w:val="19.200000000000003"/>
        </w:rPr>
        <w:t xml:space="preserve"> ze dne 27. července 1999, kterým se provádí nařízení Rady </w:t>
      </w:r>
      <w:hyperlink r:id="rId51" w:history="1">
        <w:r>
          <w:rPr>
            <w:color w:val="darkblue"/>
            <w:u w:val="single"/>
          </w:rPr>
          <w:t xml:space="preserve">(ES) č. 530/1999</w:t>
        </w:r>
      </w:hyperlink>
      <w:r>
        <w:rPr>
          <w:sz w:val="19.200000000000003"/>
          <w:szCs w:val="19.200000000000003"/>
        </w:rPr>
        <w:t xml:space="preserve"> o strukturální statistice výdělků a nákladů práce s ohledem na definici a předávání informací o nákladech práce,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53" w:history="1">
        <w:r>
          <w:rPr>
            <w:color w:val="darkblue"/>
            <w:u w:val="single"/>
          </w:rPr>
          <w:t xml:space="preserve">(ES) č. 1916/2000</w:t>
        </w:r>
      </w:hyperlink>
      <w:r>
        <w:rPr>
          <w:sz w:val="19.200000000000003"/>
          <w:szCs w:val="19.200000000000003"/>
        </w:rPr>
        <w:t xml:space="preserve"> ze dne 8. září 2000, kterým se provádí nařízení Rady </w:t>
      </w:r>
      <w:hyperlink r:id="rId51" w:history="1">
        <w:r>
          <w:rPr>
            <w:color w:val="darkblue"/>
            <w:u w:val="single"/>
          </w:rPr>
          <w:t xml:space="preserve">(ES) č. 530/1999</w:t>
        </w:r>
      </w:hyperlink>
      <w:r>
        <w:rPr>
          <w:sz w:val="19.200000000000003"/>
          <w:szCs w:val="19.200000000000003"/>
        </w:rPr>
        <w:t xml:space="preserve"> o strukturální statistice výdělků a nákladů práce s ohledem na definici a předávání informací o struktuře výdělků,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54" w:history="1">
        <w:r>
          <w:rPr>
            <w:color w:val="darkblue"/>
            <w:u w:val="single"/>
          </w:rPr>
          <w:t xml:space="preserve">(ES) č. 586/2001</w:t>
        </w:r>
      </w:hyperlink>
      <w:r>
        <w:rPr>
          <w:sz w:val="19.200000000000003"/>
          <w:szCs w:val="19.200000000000003"/>
        </w:rPr>
        <w:t xml:space="preserve"> ze dne 26. března 2001, kterým se provádí nařízení Komise </w:t>
      </w:r>
      <w:hyperlink r:id="rId50" w:history="1">
        <w:r>
          <w:rPr>
            <w:color w:val="darkblue"/>
            <w:u w:val="single"/>
          </w:rPr>
          <w:t xml:space="preserve">(ES) č. 1165/98</w:t>
        </w:r>
      </w:hyperlink>
      <w:r>
        <w:rPr>
          <w:sz w:val="19.200000000000003"/>
          <w:szCs w:val="19.200000000000003"/>
        </w:rPr>
        <w:t xml:space="preserve"> o konjunkturálních statistikách, pokud se jedná o definici hlavních průmyslových seskupení (HPS),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55" w:history="1">
        <w:r>
          <w:rPr>
            <w:color w:val="darkblue"/>
            <w:u w:val="single"/>
          </w:rPr>
          <w:t xml:space="preserve">(ES) č. 450/2003</w:t>
        </w:r>
      </w:hyperlink>
      <w:r>
        <w:rPr>
          <w:sz w:val="19.200000000000003"/>
          <w:szCs w:val="19.200000000000003"/>
        </w:rPr>
        <w:t xml:space="preserve"> ze dne 27. února 2003 o indexu nákladů práce,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56" w:history="1">
        <w:r>
          <w:rPr>
            <w:color w:val="darkblue"/>
            <w:u w:val="single"/>
          </w:rPr>
          <w:t xml:space="preserve">(ES) č. 453/2008</w:t>
        </w:r>
      </w:hyperlink>
      <w:r>
        <w:rPr>
          <w:sz w:val="19.200000000000003"/>
          <w:szCs w:val="19.200000000000003"/>
        </w:rPr>
        <w:t xml:space="preserve"> ze dne 23. dubna 2008 o čtvrtletní statistice volných pracovních míst ve Společenství.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57" w:history="1">
        <w:r>
          <w:rPr>
            <w:color w:val="darkblue"/>
            <w:u w:val="single"/>
          </w:rPr>
          <w:t xml:space="preserve">(ES) č. 184/2005</w:t>
        </w:r>
      </w:hyperlink>
      <w:r>
        <w:rPr>
          <w:sz w:val="19.200000000000003"/>
          <w:szCs w:val="19.200000000000003"/>
        </w:rPr>
        <w:t xml:space="preserve"> ze dne 12. ledna 2005 o statistice Společenství týkající se platební bilance, mezinárodního obchodu službami a přímých zahraničních investic,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58" w:history="1">
        <w:r>
          <w:rPr>
            <w:color w:val="darkblue"/>
            <w:u w:val="single"/>
          </w:rPr>
          <w:t xml:space="preserve">(ES) č. 1722/2005</w:t>
        </w:r>
      </w:hyperlink>
      <w:r>
        <w:rPr>
          <w:sz w:val="19.200000000000003"/>
          <w:szCs w:val="19.200000000000003"/>
        </w:rPr>
        <w:t xml:space="preserve"> ze dne 20. října 2005 o zásadách pro odhad služeb bydlení pro účely nařízení Rady </w:t>
      </w:r>
      <w:hyperlink r:id="rId59" w:history="1">
        <w:r>
          <w:rPr>
            <w:color w:val="darkblue"/>
            <w:u w:val="single"/>
          </w:rPr>
          <w:t xml:space="preserve">(ES, Euratom) č. 1287/2003</w:t>
        </w:r>
      </w:hyperlink>
      <w:r>
        <w:rPr>
          <w:sz w:val="19.200000000000003"/>
          <w:szCs w:val="19.200000000000003"/>
        </w:rPr>
        <w:t xml:space="preserve"> o harmonizaci hrubého národního důchodu v tržních cenách.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60" w:history="1">
        <w:r>
          <w:rPr>
            <w:color w:val="darkblue"/>
            <w:u w:val="single"/>
          </w:rPr>
          <w:t xml:space="preserve">(ES) č. 1503/2006</w:t>
        </w:r>
      </w:hyperlink>
      <w:r>
        <w:rPr>
          <w:sz w:val="19.200000000000003"/>
          <w:szCs w:val="19.200000000000003"/>
        </w:rPr>
        <w:t xml:space="preserve"> ze dne 28. září 2006, kterým se provádí a mění nařízení Rady </w:t>
      </w:r>
      <w:hyperlink r:id="rId50" w:history="1">
        <w:r>
          <w:rPr>
            <w:color w:val="darkblue"/>
            <w:u w:val="single"/>
          </w:rPr>
          <w:t xml:space="preserve">(ES) č. 1165/98</w:t>
        </w:r>
      </w:hyperlink>
      <w:r>
        <w:rPr>
          <w:sz w:val="19.200000000000003"/>
          <w:szCs w:val="19.200000000000003"/>
        </w:rPr>
        <w:t xml:space="preserve"> o konjunkturálních statistikách, pokud se jedná o definice proměnných, seznam proměnných a frekvenci zpracovávání údajů,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61" w:history="1">
        <w:r>
          <w:rPr>
            <w:color w:val="darkblue"/>
            <w:u w:val="single"/>
          </w:rPr>
          <w:t xml:space="preserve">(ES) č. 1893/2006</w:t>
        </w:r>
      </w:hyperlink>
      <w:r>
        <w:rPr>
          <w:sz w:val="19.200000000000003"/>
          <w:szCs w:val="19.200000000000003"/>
        </w:rPr>
        <w:t xml:space="preserve"> ze dne 20. prosince 2006, kterým se zavádí statistická klasifikace ekonomických činností NACE Revize 2 a kterým se mění nařízení Rady </w:t>
      </w:r>
      <w:hyperlink r:id="rId62" w:history="1">
        <w:r>
          <w:rPr>
            <w:color w:val="darkblue"/>
            <w:u w:val="single"/>
          </w:rPr>
          <w:t xml:space="preserve">(EHS) č. 3037/90</w:t>
        </w:r>
      </w:hyperlink>
      <w:r>
        <w:rPr>
          <w:sz w:val="19.200000000000003"/>
          <w:szCs w:val="19.200000000000003"/>
        </w:rPr>
        <w:t xml:space="preserve"> a některá nařízení ES o specifických statistických oblastech,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63" w:history="1">
        <w:r>
          <w:rPr>
            <w:color w:val="darkblue"/>
            <w:u w:val="single"/>
          </w:rPr>
          <w:t xml:space="preserve">(ES) č. 451/2008</w:t>
        </w:r>
      </w:hyperlink>
      <w:r>
        <w:rPr>
          <w:sz w:val="19.200000000000003"/>
          <w:szCs w:val="19.200000000000003"/>
        </w:rPr>
        <w:t xml:space="preserve"> ze dne 23. dubna 2008, kterým se zavádí nová statistická klasifikace produkce podle činností (CPA) a zrušuje nařízení Rady </w:t>
      </w:r>
      <w:hyperlink r:id="rId64" w:history="1">
        <w:r>
          <w:rPr>
            <w:color w:val="darkblue"/>
            <w:u w:val="single"/>
          </w:rPr>
          <w:t xml:space="preserve">(EHS) č. 3696/93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</w:t>
      </w:r>
      <w:hyperlink r:id="rId65" w:history="1">
        <w:r>
          <w:rPr>
            <w:color w:val="darkblue"/>
            <w:u w:val="single"/>
          </w:rPr>
          <w:t xml:space="preserve">(ES) č. 472/2008</w:t>
        </w:r>
      </w:hyperlink>
      <w:r>
        <w:rPr>
          <w:sz w:val="19.200000000000003"/>
          <w:szCs w:val="19.200000000000003"/>
        </w:rPr>
        <w:t xml:space="preserve"> ze dne 29. května 2008, kterým se provádí nařízení Rady </w:t>
      </w:r>
      <w:hyperlink r:id="rId50" w:history="1">
        <w:r>
          <w:rPr>
            <w:color w:val="darkblue"/>
            <w:u w:val="single"/>
          </w:rPr>
          <w:t xml:space="preserve">(ES) č. 1165/98</w:t>
        </w:r>
      </w:hyperlink>
      <w:r>
        <w:rPr>
          <w:sz w:val="19.200000000000003"/>
          <w:szCs w:val="19.200000000000003"/>
        </w:rPr>
        <w:t xml:space="preserve"> o konjunkturálních statistikách, pokud jde o první základní rok pro časové řady v NACE Rev. 2 a o úroveň podrobnosti, formu, první referenční období a referenční období pro časové řady před rokem 2009, které mají být předány podle NACE Rev. 2.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66" w:history="1">
        <w:r>
          <w:rPr>
            <w:color w:val="darkblue"/>
            <w:u w:val="single"/>
          </w:rPr>
          <w:t xml:space="preserve">(EU) č. 692/2011</w:t>
        </w:r>
      </w:hyperlink>
      <w:r>
        <w:rPr>
          <w:sz w:val="19.200000000000003"/>
          <w:szCs w:val="19.200000000000003"/>
        </w:rPr>
        <w:t xml:space="preserve"> ze dne 6. července 2011 o evropské statistice cestovního ruchu a o zrušení směrnice Rady </w:t>
      </w:r>
      <w:hyperlink r:id="rId67" w:history="1">
        <w:r>
          <w:rPr>
            <w:color w:val="darkblue"/>
            <w:u w:val="single"/>
          </w:rPr>
          <w:t xml:space="preserve">95/57/ES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68" w:history="1">
        <w:r>
          <w:rPr>
            <w:color w:val="darkblue"/>
            <w:u w:val="single"/>
          </w:rPr>
          <w:t xml:space="preserve">(EU) 2016/792</w:t>
        </w:r>
      </w:hyperlink>
      <w:r>
        <w:rPr>
          <w:sz w:val="19.200000000000003"/>
          <w:szCs w:val="19.200000000000003"/>
        </w:rPr>
        <w:t xml:space="preserve"> ze dne 11. května 2016 o harmonizovaných indexech spotřebitelských cen a indexu cen bytových nemovitostí a o zrušení nařízení Rady </w:t>
      </w:r>
      <w:hyperlink r:id="rId69" w:history="1">
        <w:r>
          <w:rPr>
            <w:color w:val="darkblue"/>
            <w:u w:val="single"/>
          </w:rPr>
          <w:t xml:space="preserve">(ES) č. 2494/95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70" w:history="1">
        <w:r>
          <w:rPr>
            <w:color w:val="darkblue"/>
            <w:u w:val="single"/>
          </w:rPr>
          <w:t xml:space="preserve">(EU) 2019/2152</w:t>
        </w:r>
      </w:hyperlink>
      <w:r>
        <w:rPr>
          <w:sz w:val="19.200000000000003"/>
          <w:szCs w:val="19.200000000000003"/>
        </w:rPr>
        <w:t xml:space="preserve"> ze dne 27. listopadu 2019 o evropských podnikových statistikách a zrušení deseti právních aktů v oblasti podnikových statistik.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71" w:history="1">
        <w:r>
          <w:rPr>
            <w:color w:val="darkblue"/>
            <w:u w:val="single"/>
          </w:rPr>
          <w:t xml:space="preserve">(EU) 2020/1148</w:t>
        </w:r>
      </w:hyperlink>
      <w:r>
        <w:rPr>
          <w:sz w:val="19.200000000000003"/>
          <w:szCs w:val="19.200000000000003"/>
        </w:rPr>
        <w:t xml:space="preserve"> ze dne 31. července 2020, kterým se stanoví metodické a technické specifikace v souladu s nařízením Evropského parlamentu a Rady </w:t>
      </w:r>
      <w:hyperlink r:id="rId68" w:history="1">
        <w:r>
          <w:rPr>
            <w:color w:val="darkblue"/>
            <w:u w:val="single"/>
          </w:rPr>
          <w:t xml:space="preserve">(EU) 2016/792</w:t>
        </w:r>
      </w:hyperlink>
      <w:r>
        <w:rPr>
          <w:sz w:val="19.200000000000003"/>
          <w:szCs w:val="19.200000000000003"/>
        </w:rPr>
        <w:t xml:space="preserve">, pokud jde o harmonizované indexy spotřebitelských cen a index cen bytových nemovitostí.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72" w:history="1">
        <w:r>
          <w:rPr>
            <w:color w:val="darkblue"/>
            <w:u w:val="single"/>
          </w:rPr>
          <w:t xml:space="preserve">(EU) 2020/1197</w:t>
        </w:r>
      </w:hyperlink>
      <w:r>
        <w:rPr>
          <w:sz w:val="19.200000000000003"/>
          <w:szCs w:val="19.200000000000003"/>
        </w:rPr>
        <w:t xml:space="preserve"> ze dne 30. července 2020, kterým se stanoví technické specifikace a úprava podle nařízení Evropského parlamentu a Rady </w:t>
      </w:r>
      <w:hyperlink r:id="rId70" w:history="1">
        <w:r>
          <w:rPr>
            <w:color w:val="darkblue"/>
            <w:u w:val="single"/>
          </w:rPr>
          <w:t xml:space="preserve">(EU) 2019/2152</w:t>
        </w:r>
      </w:hyperlink>
      <w:r>
        <w:rPr>
          <w:sz w:val="19.200000000000003"/>
          <w:szCs w:val="19.200000000000003"/>
        </w:rPr>
        <w:t xml:space="preserve"> o evropských podnikových statistikách a zrušení deseti právních aktů v oblasti podnikových statistik.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1 k vyhlášce č. 404/2021 Sb.</w:t>
      </w:r>
      <w:r>
        <w:rPr>
          <w:rStyle w:val="hidden"/>
        </w:rPr>
        <w:t xml:space="preserve"> -</w:t>
      </w:r>
      <w:br/>
      <w:r>
        <w:rPr/>
        <w:t xml:space="preserve">Program statistických zjišťování prováděných českým statistickým úřadem na rok 2022</w:t>
      </w:r>
    </w:p>
    <w:p>
      <w:pPr>
        <w:jc w:val="center"/>
      </w:pPr>
      <w:hyperlink r:id="rId73" w:history="1">
        <w:r>
          <w:rPr>
            <w:color w:val="blue"/>
          </w:rPr>
          <w:t xml:space="preserve">Příloha PDF (6255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2 k vyhlášce č. 404/2021 Sb.</w:t>
      </w:r>
      <w:r>
        <w:rPr>
          <w:rStyle w:val="hidden"/>
        </w:rPr>
        <w:t xml:space="preserve"> -</w:t>
      </w:r>
      <w:br/>
      <w:r>
        <w:rPr/>
        <w:t xml:space="preserve">Program statistických zjišťování prováděných ministerstvy na rok 2022</w:t>
      </w:r>
    </w:p>
    <w:p>
      <w:pPr>
        <w:jc w:val="center"/>
      </w:pPr>
      <w:hyperlink r:id="rId74" w:history="1">
        <w:r>
          <w:rPr>
            <w:color w:val="blue"/>
          </w:rPr>
          <w:t xml:space="preserve">Příloha PDF (4080 kB)</w:t>
        </w:r>
      </w:hyperlink>
    </w:p>
    <w:sectPr>
      <w:headerReference w:type="default" r:id="rId75"/>
      <w:footerReference w:type="default" r:id="rId7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404/2021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5s089-2020s332#P27" TargetMode="External"/><Relationship Id="rId8" Type="http://schemas.openxmlformats.org/officeDocument/2006/relationships/hyperlink" Target="https://esipa.cz/sbirka/sbsrv.dll/sb?DR=SB&amp;CP=1995s089" TargetMode="External"/><Relationship Id="rId9" Type="http://schemas.openxmlformats.org/officeDocument/2006/relationships/hyperlink" Target="https://esipa.cz/sbirka/sbsrv.dll/sb?DR=SB&amp;CP=2000s411" TargetMode="External"/><Relationship Id="rId10" Type="http://schemas.openxmlformats.org/officeDocument/2006/relationships/hyperlink" Target="https://esipa.cz/sbirka/sbsrv.dll/sb?DR=SB&amp;CP=31996L0016" TargetMode="External"/><Relationship Id="rId11" Type="http://schemas.openxmlformats.org/officeDocument/2006/relationships/hyperlink" Target="https://esipa.cz/sbirka/sbsrv.dll/sb?DR=SB&amp;CP=32003L0107" TargetMode="External"/><Relationship Id="rId12" Type="http://schemas.openxmlformats.org/officeDocument/2006/relationships/hyperlink" Target="https://esipa.cz/sbirka/sbsrv.dll/sb?DR=SB&amp;CP=32003R1882" TargetMode="External"/><Relationship Id="rId13" Type="http://schemas.openxmlformats.org/officeDocument/2006/relationships/hyperlink" Target="https://esipa.cz/sbirka/sbsrv.dll/sb?DR=SB&amp;CP=32009R0219" TargetMode="External"/><Relationship Id="rId14" Type="http://schemas.openxmlformats.org/officeDocument/2006/relationships/hyperlink" Target="https://esipa.cz/sbirka/sbsrv.dll/sb?DR=SB&amp;CP=32013R1350" TargetMode="External"/><Relationship Id="rId15" Type="http://schemas.openxmlformats.org/officeDocument/2006/relationships/hyperlink" Target="https://esipa.cz/sbirka/sbsrv.dll/sb?DR=SB&amp;CP=31991L0271" TargetMode="External"/><Relationship Id="rId16" Type="http://schemas.openxmlformats.org/officeDocument/2006/relationships/hyperlink" Target="https://esipa.cz/sbirka/sbsrv.dll/sb?DR=SB&amp;CP=31998L0015" TargetMode="External"/><Relationship Id="rId17" Type="http://schemas.openxmlformats.org/officeDocument/2006/relationships/hyperlink" Target="https://esipa.cz/sbirka/sbsrv.dll/sb?DR=SB&amp;CP=32008R1137" TargetMode="External"/><Relationship Id="rId18" Type="http://schemas.openxmlformats.org/officeDocument/2006/relationships/hyperlink" Target="https://esipa.cz/sbirka/sbsrv.dll/sb?DR=SB&amp;CP=32013L0064" TargetMode="External"/><Relationship Id="rId19" Type="http://schemas.openxmlformats.org/officeDocument/2006/relationships/hyperlink" Target="https://esipa.cz/sbirka/sbsrv.dll/sb?DR=SB&amp;CP=32009L0119" TargetMode="External"/><Relationship Id="rId20" Type="http://schemas.openxmlformats.org/officeDocument/2006/relationships/hyperlink" Target="https://esipa.cz/sbirka/sbsrv.dll/sb?DR=SB&amp;CP=32018L1581" TargetMode="External"/><Relationship Id="rId21" Type="http://schemas.openxmlformats.org/officeDocument/2006/relationships/hyperlink" Target="https://esipa.cz/sbirka/sbsrv.dll/sb?DR=SB&amp;CP=32018R1999" TargetMode="External"/><Relationship Id="rId22" Type="http://schemas.openxmlformats.org/officeDocument/2006/relationships/hyperlink" Target="https://esipa.cz/sbirka/sbsrv.dll/sb?DR=SB&amp;CP=32008R1338" TargetMode="External"/><Relationship Id="rId23" Type="http://schemas.openxmlformats.org/officeDocument/2006/relationships/hyperlink" Target="https://esipa.cz/sbirka/sbsrv.dll/sb?DR=SB&amp;CP=32011R0328" TargetMode="External"/><Relationship Id="rId24" Type="http://schemas.openxmlformats.org/officeDocument/2006/relationships/hyperlink" Target="https://esipa.cz/sbirka/sbsrv.dll/sb?DR=SB&amp;CP=32013R1260" TargetMode="External"/><Relationship Id="rId25" Type="http://schemas.openxmlformats.org/officeDocument/2006/relationships/hyperlink" Target="https://esipa.cz/sbirka/sbsrv.dll/sb?DR=SB&amp;CP=32014R0205" TargetMode="External"/><Relationship Id="rId26" Type="http://schemas.openxmlformats.org/officeDocument/2006/relationships/hyperlink" Target="https://esipa.cz/sbirka/sbsrv.dll/sb?DR=SB&amp;CP=32004R0138" TargetMode="External"/><Relationship Id="rId27" Type="http://schemas.openxmlformats.org/officeDocument/2006/relationships/hyperlink" Target="https://esipa.cz/sbirka/sbsrv.dll/sb?DR=SB&amp;CP=32008R1165" TargetMode="External"/><Relationship Id="rId28" Type="http://schemas.openxmlformats.org/officeDocument/2006/relationships/hyperlink" Target="https://esipa.cz/sbirka/sbsrv.dll/sb?DR=SB&amp;CP=31993L0023" TargetMode="External"/><Relationship Id="rId29" Type="http://schemas.openxmlformats.org/officeDocument/2006/relationships/hyperlink" Target="https://esipa.cz/sbirka/sbsrv.dll/sb?DR=SB&amp;CP=31993L0024" TargetMode="External"/><Relationship Id="rId30" Type="http://schemas.openxmlformats.org/officeDocument/2006/relationships/hyperlink" Target="https://esipa.cz/sbirka/sbsrv.dll/sb?DR=SB&amp;CP=31993L0025" TargetMode="External"/><Relationship Id="rId31" Type="http://schemas.openxmlformats.org/officeDocument/2006/relationships/hyperlink" Target="https://esipa.cz/sbirka/sbsrv.dll/sb?DR=SB&amp;CP=32009R0543" TargetMode="External"/><Relationship Id="rId32" Type="http://schemas.openxmlformats.org/officeDocument/2006/relationships/hyperlink" Target="https://esipa.cz/sbirka/sbsrv.dll/sb?DR=SB&amp;CP=31990R0837" TargetMode="External"/><Relationship Id="rId33" Type="http://schemas.openxmlformats.org/officeDocument/2006/relationships/hyperlink" Target="https://esipa.cz/sbirka/sbsrv.dll/sb?DR=SB&amp;CP=31993R0959" TargetMode="External"/><Relationship Id="rId34" Type="http://schemas.openxmlformats.org/officeDocument/2006/relationships/hyperlink" Target="https://esipa.cz/sbirka/sbsrv.dll/sb?DR=SB&amp;CP=32017R1185" TargetMode="External"/><Relationship Id="rId35" Type="http://schemas.openxmlformats.org/officeDocument/2006/relationships/hyperlink" Target="https://esipa.cz/sbirka/sbsrv.dll/sb?DR=SB&amp;CP=32013R1307" TargetMode="External"/><Relationship Id="rId36" Type="http://schemas.openxmlformats.org/officeDocument/2006/relationships/hyperlink" Target="https://esipa.cz/sbirka/sbsrv.dll/sb?DR=SB&amp;CP=32013R1308" TargetMode="External"/><Relationship Id="rId37" Type="http://schemas.openxmlformats.org/officeDocument/2006/relationships/hyperlink" Target="https://esipa.cz/sbirka/sbsrv.dll/sb?DR=SB&amp;CP=32002R2150" TargetMode="External"/><Relationship Id="rId38" Type="http://schemas.openxmlformats.org/officeDocument/2006/relationships/hyperlink" Target="https://esipa.cz/sbirka/sbsrv.dll/sb?DR=SB&amp;CP=32011R0691" TargetMode="External"/><Relationship Id="rId39" Type="http://schemas.openxmlformats.org/officeDocument/2006/relationships/hyperlink" Target="https://esipa.cz/sbirka/sbsrv.dll/sb?DR=SB&amp;CP=31995R2964" TargetMode="External"/><Relationship Id="rId40" Type="http://schemas.openxmlformats.org/officeDocument/2006/relationships/hyperlink" Target="https://esipa.cz/sbirka/sbsrv.dll/sb?DR=SB&amp;CP=32008R1099" TargetMode="External"/><Relationship Id="rId41" Type="http://schemas.openxmlformats.org/officeDocument/2006/relationships/hyperlink" Target="https://esipa.cz/sbirka/sbsrv.dll/sb?DR=SB&amp;CP=32016R1952" TargetMode="External"/><Relationship Id="rId42" Type="http://schemas.openxmlformats.org/officeDocument/2006/relationships/hyperlink" Target="https://esipa.cz/sbirka/sbsrv.dll/sb?DR=SB&amp;CP=32008L0092" TargetMode="External"/><Relationship Id="rId43" Type="http://schemas.openxmlformats.org/officeDocument/2006/relationships/hyperlink" Target="https://esipa.cz/sbirka/sbsrv.dll/sb?DR=SB&amp;CP=32019R0803" TargetMode="External"/><Relationship Id="rId44" Type="http://schemas.openxmlformats.org/officeDocument/2006/relationships/hyperlink" Target="https://esipa.cz/sbirka/sbsrv.dll/sb?DR=SB&amp;CP=32009R0479" TargetMode="External"/><Relationship Id="rId45" Type="http://schemas.openxmlformats.org/officeDocument/2006/relationships/hyperlink" Target="https://esipa.cz/sbirka/sbsrv.dll/sb?DR=SB&amp;CP=32013R0549" TargetMode="External"/><Relationship Id="rId46" Type="http://schemas.openxmlformats.org/officeDocument/2006/relationships/hyperlink" Target="https://esipa.cz/sbirka/sbsrv.dll/sb?DR=SB&amp;CP=32003R0437" TargetMode="External"/><Relationship Id="rId47" Type="http://schemas.openxmlformats.org/officeDocument/2006/relationships/hyperlink" Target="https://esipa.cz/sbirka/sbsrv.dll/sb?DR=SB&amp;CP=32012R0070" TargetMode="External"/><Relationship Id="rId48" Type="http://schemas.openxmlformats.org/officeDocument/2006/relationships/hyperlink" Target="https://esipa.cz/sbirka/sbsrv.dll/sb?DR=SB&amp;CP=32018R0643" TargetMode="External"/><Relationship Id="rId49" Type="http://schemas.openxmlformats.org/officeDocument/2006/relationships/hyperlink" Target="https://esipa.cz/sbirka/sbsrv.dll/sb?DR=SB&amp;CP=32018R0974" TargetMode="External"/><Relationship Id="rId50" Type="http://schemas.openxmlformats.org/officeDocument/2006/relationships/hyperlink" Target="https://esipa.cz/sbirka/sbsrv.dll/sb?DR=SB&amp;CP=31998R1165" TargetMode="External"/><Relationship Id="rId51" Type="http://schemas.openxmlformats.org/officeDocument/2006/relationships/hyperlink" Target="https://esipa.cz/sbirka/sbsrv.dll/sb?DR=SB&amp;CP=31999R0530" TargetMode="External"/><Relationship Id="rId52" Type="http://schemas.openxmlformats.org/officeDocument/2006/relationships/hyperlink" Target="https://esipa.cz/sbirka/sbsrv.dll/sb?DR=SB&amp;CP=31999R1726" TargetMode="External"/><Relationship Id="rId53" Type="http://schemas.openxmlformats.org/officeDocument/2006/relationships/hyperlink" Target="https://esipa.cz/sbirka/sbsrv.dll/sb?DR=SB&amp;CP=32000R1916" TargetMode="External"/><Relationship Id="rId54" Type="http://schemas.openxmlformats.org/officeDocument/2006/relationships/hyperlink" Target="https://esipa.cz/sbirka/sbsrv.dll/sb?DR=SB&amp;CP=32001R0586" TargetMode="External"/><Relationship Id="rId55" Type="http://schemas.openxmlformats.org/officeDocument/2006/relationships/hyperlink" Target="https://esipa.cz/sbirka/sbsrv.dll/sb?DR=SB&amp;CP=32003R0450" TargetMode="External"/><Relationship Id="rId56" Type="http://schemas.openxmlformats.org/officeDocument/2006/relationships/hyperlink" Target="https://esipa.cz/sbirka/sbsrv.dll/sb?DR=SB&amp;CP=32008R0453" TargetMode="External"/><Relationship Id="rId57" Type="http://schemas.openxmlformats.org/officeDocument/2006/relationships/hyperlink" Target="https://esipa.cz/sbirka/sbsrv.dll/sb?DR=SB&amp;CP=32005R0184" TargetMode="External"/><Relationship Id="rId58" Type="http://schemas.openxmlformats.org/officeDocument/2006/relationships/hyperlink" Target="https://esipa.cz/sbirka/sbsrv.dll/sb?DR=SB&amp;CP=32005R1722" TargetMode="External"/><Relationship Id="rId59" Type="http://schemas.openxmlformats.org/officeDocument/2006/relationships/hyperlink" Target="https://esipa.cz/sbirka/sbsrv.dll/sb?DR=SB&amp;CP=32003R1287" TargetMode="External"/><Relationship Id="rId60" Type="http://schemas.openxmlformats.org/officeDocument/2006/relationships/hyperlink" Target="https://esipa.cz/sbirka/sbsrv.dll/sb?DR=SB&amp;CP=32006R1503" TargetMode="External"/><Relationship Id="rId61" Type="http://schemas.openxmlformats.org/officeDocument/2006/relationships/hyperlink" Target="https://esipa.cz/sbirka/sbsrv.dll/sb?DR=SB&amp;CP=32006R1893" TargetMode="External"/><Relationship Id="rId62" Type="http://schemas.openxmlformats.org/officeDocument/2006/relationships/hyperlink" Target="https://esipa.cz/sbirka/sbsrv.dll/sb?DR=SB&amp;CP=31990R3037" TargetMode="External"/><Relationship Id="rId63" Type="http://schemas.openxmlformats.org/officeDocument/2006/relationships/hyperlink" Target="https://esipa.cz/sbirka/sbsrv.dll/sb?DR=SB&amp;CP=32008R0451" TargetMode="External"/><Relationship Id="rId64" Type="http://schemas.openxmlformats.org/officeDocument/2006/relationships/hyperlink" Target="https://esipa.cz/sbirka/sbsrv.dll/sb?DR=SB&amp;CP=31993R3696" TargetMode="External"/><Relationship Id="rId65" Type="http://schemas.openxmlformats.org/officeDocument/2006/relationships/hyperlink" Target="https://esipa.cz/sbirka/sbsrv.dll/sb?DR=SB&amp;CP=32008R0472" TargetMode="External"/><Relationship Id="rId66" Type="http://schemas.openxmlformats.org/officeDocument/2006/relationships/hyperlink" Target="https://esipa.cz/sbirka/sbsrv.dll/sb?DR=SB&amp;CP=32011R0692" TargetMode="External"/><Relationship Id="rId67" Type="http://schemas.openxmlformats.org/officeDocument/2006/relationships/hyperlink" Target="https://esipa.cz/sbirka/sbsrv.dll/sb?DR=SB&amp;CP=31995L0057" TargetMode="External"/><Relationship Id="rId68" Type="http://schemas.openxmlformats.org/officeDocument/2006/relationships/hyperlink" Target="https://esipa.cz/sbirka/sbsrv.dll/sb?DR=SB&amp;CP=32016R0792" TargetMode="External"/><Relationship Id="rId69" Type="http://schemas.openxmlformats.org/officeDocument/2006/relationships/hyperlink" Target="https://esipa.cz/sbirka/sbsrv.dll/sb?DR=SB&amp;CP=31995R2494" TargetMode="External"/><Relationship Id="rId70" Type="http://schemas.openxmlformats.org/officeDocument/2006/relationships/hyperlink" Target="https://esipa.cz/sbirka/sbsrv.dll/sb?DR=SB&amp;CP=32019R2152" TargetMode="External"/><Relationship Id="rId71" Type="http://schemas.openxmlformats.org/officeDocument/2006/relationships/hyperlink" Target="https://esipa.cz/sbirka/sbsrv.dll/sb?DR=SB&amp;CP=32020R1148" TargetMode="External"/><Relationship Id="rId72" Type="http://schemas.openxmlformats.org/officeDocument/2006/relationships/hyperlink" Target="https://esipa.cz/sbirka/sbsrv.dll/sb?DR=SB&amp;CP=32020R1197" TargetMode="External"/><Relationship Id="rId73" Type="http://schemas.openxmlformats.org/officeDocument/2006/relationships/hyperlink" Target="https://esipa.cz/soubor/797bd3680c9c7517601deed3332b97a2fdf74684d10733b387b9c201290d24b3463d52e143f9a398f120cee39da20e699c245eac50125b496d8f11159c8446dc/2021s404p01.pdf" TargetMode="External"/><Relationship Id="rId74" Type="http://schemas.openxmlformats.org/officeDocument/2006/relationships/hyperlink" Target="https://esipa.cz/soubor/25f5b6d98100ed30fe5dcc55642d87837e63bd660879361b5b1770f3fea3b2f69315d8a5f8bd22627465e794d1615071a403a0245a1dfa2bd534dc0ac40e1754/2021s404p02.pdf" TargetMode="External"/><Relationship Id="rId75" Type="http://schemas.openxmlformats.org/officeDocument/2006/relationships/header" Target="header1.xml"/><Relationship Id="rId7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404/2021 Sb. - původní znění</dc:title>
  <dc:description>Vyhláška o Programu statistických zjišťování na rok 2022</dc:description>
  <dc:subject/>
  <cp:keywords/>
  <cp:category/>
  <cp:lastModifiedBy/>
  <dcterms:created xsi:type="dcterms:W3CDTF">2022-01-01T00:00:00+01:00</dcterms:created>
  <dcterms:modified xsi:type="dcterms:W3CDTF">2023-11-20T13:10:24+01:00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