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405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5. listopadu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567/2006 Sb.</w:t>
        </w:r>
      </w:hyperlink>
      <w:r>
        <w:rPr>
          <w:b/>
          <w:bCs/>
        </w:rPr>
        <w:t xml:space="preserve">, o minimální mzdě, o nejnižších úrovních zaručené mzdy, o vymezení ztíženého pracovního prostředí a o výši příplatku ke mzdě za práci ve ztíženém pracovním prostředí,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8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odst. 2 a </w:t>
      </w:r>
      <w:hyperlink r:id="rId9" w:history="1">
        <w:r>
          <w:rPr>
            <w:color w:val="darkblue"/>
            <w:u w:val="single"/>
          </w:rPr>
          <w:t xml:space="preserve">§ 112</w:t>
        </w:r>
      </w:hyperlink>
      <w:r>
        <w:rPr/>
        <w:t xml:space="preserve"> odst. 2 zákona č. </w:t>
      </w:r>
      <w:hyperlink r:id="rId10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, zákoník práce: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567/2006 Sb.</w:t>
        </w:r>
      </w:hyperlink>
      <w:r>
        <w:rPr/>
        <w:t xml:space="preserve">, o minimální mzdě, o nejnižších úrovních zaručené mzdy, o vymezení ztíženého pracovního prostředí a o výši příplatku ke mzdě za práci ve ztíženém pracovním prostředí, ve znění nařízení vlády č. </w:t>
      </w:r>
      <w:hyperlink r:id="rId11" w:history="1">
        <w:r>
          <w:rPr>
            <w:color w:val="darkblue"/>
            <w:u w:val="single"/>
          </w:rPr>
          <w:t xml:space="preserve">249/2007 Sb.</w:t>
        </w:r>
      </w:hyperlink>
      <w:r>
        <w:rPr/>
        <w:t xml:space="preserve">, nařízení vlády č. </w:t>
      </w:r>
      <w:hyperlink r:id="rId12" w:history="1">
        <w:r>
          <w:rPr>
            <w:color w:val="darkblue"/>
            <w:u w:val="single"/>
          </w:rPr>
          <w:t xml:space="preserve">452/2009 Sb.</w:t>
        </w:r>
      </w:hyperlink>
      <w:r>
        <w:rPr/>
        <w:t xml:space="preserve">, nařízení vlády č. </w:t>
      </w:r>
      <w:hyperlink r:id="rId13" w:history="1">
        <w:r>
          <w:rPr>
            <w:color w:val="darkblue"/>
            <w:u w:val="single"/>
          </w:rPr>
          <w:t xml:space="preserve">246/2012 Sb.</w:t>
        </w:r>
      </w:hyperlink>
      <w:r>
        <w:rPr/>
        <w:t xml:space="preserve">, nařízení vlády č. </w:t>
      </w:r>
      <w:hyperlink r:id="rId14" w:history="1">
        <w:r>
          <w:rPr>
            <w:color w:val="darkblue"/>
            <w:u w:val="single"/>
          </w:rPr>
          <w:t xml:space="preserve">210/2013 Sb.</w:t>
        </w:r>
      </w:hyperlink>
      <w:r>
        <w:rPr/>
        <w:t xml:space="preserve">, nařízení vlády č. </w:t>
      </w:r>
      <w:hyperlink r:id="rId15" w:history="1">
        <w:r>
          <w:rPr>
            <w:color w:val="darkblue"/>
            <w:u w:val="single"/>
          </w:rPr>
          <w:t xml:space="preserve">204/2014 Sb.</w:t>
        </w:r>
      </w:hyperlink>
      <w:r>
        <w:rPr/>
        <w:t xml:space="preserve">, nařízení vlády č. </w:t>
      </w:r>
      <w:hyperlink r:id="rId16" w:history="1">
        <w:r>
          <w:rPr>
            <w:color w:val="darkblue"/>
            <w:u w:val="single"/>
          </w:rPr>
          <w:t xml:space="preserve">233/2015 Sb.</w:t>
        </w:r>
      </w:hyperlink>
      <w:r>
        <w:rPr/>
        <w:t xml:space="preserve">, nařízení vlády č. </w:t>
      </w:r>
      <w:hyperlink r:id="rId17" w:history="1">
        <w:r>
          <w:rPr>
            <w:color w:val="darkblue"/>
            <w:u w:val="single"/>
          </w:rPr>
          <w:t xml:space="preserve">336/2016 Sb.</w:t>
        </w:r>
      </w:hyperlink>
      <w:r>
        <w:rPr/>
        <w:t xml:space="preserve">, nařízení vlády č. </w:t>
      </w:r>
      <w:hyperlink r:id="rId18" w:history="1">
        <w:r>
          <w:rPr>
            <w:color w:val="darkblue"/>
            <w:u w:val="single"/>
          </w:rPr>
          <w:t xml:space="preserve">337/2016 Sb.</w:t>
        </w:r>
      </w:hyperlink>
      <w:r>
        <w:rPr/>
        <w:t xml:space="preserve">, nařízení vlády č. </w:t>
      </w:r>
      <w:hyperlink r:id="rId19" w:history="1">
        <w:r>
          <w:rPr>
            <w:color w:val="darkblue"/>
            <w:u w:val="single"/>
          </w:rPr>
          <w:t xml:space="preserve">286/2017 Sb.</w:t>
        </w:r>
      </w:hyperlink>
      <w:r>
        <w:rPr/>
        <w:t xml:space="preserve">, nařízení vlády č. </w:t>
      </w:r>
      <w:hyperlink r:id="rId20" w:history="1">
        <w:r>
          <w:rPr>
            <w:color w:val="darkblue"/>
            <w:u w:val="single"/>
          </w:rPr>
          <w:t xml:space="preserve">273/2018 Sb.</w:t>
        </w:r>
      </w:hyperlink>
      <w:r>
        <w:rPr/>
        <w:t xml:space="preserve">, nařízení vlády č. </w:t>
      </w:r>
      <w:hyperlink r:id="rId21" w:history="1">
        <w:r>
          <w:rPr>
            <w:color w:val="darkblue"/>
            <w:u w:val="single"/>
          </w:rPr>
          <w:t xml:space="preserve">347/2019 Sb.</w:t>
        </w:r>
      </w:hyperlink>
      <w:r>
        <w:rPr/>
        <w:t xml:space="preserve"> a nařízení vlády č. </w:t>
      </w:r>
      <w:hyperlink r:id="rId22" w:history="1">
        <w:r>
          <w:rPr>
            <w:color w:val="darkblue"/>
            <w:u w:val="single"/>
          </w:rPr>
          <w:t xml:space="preserve">487/2020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částka „90,50 Kč“ nahrazuje částkou „96,40 Kč“ a částka „15 200 Kč“ se nahrazuje částkou „16 200 Kč“.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Nejnižší úrovně zaručené mzdy pro stanovenou týdenní pracovní dobu 40 hodin jsou odstupňovány podle složitosti, odpovědnosti a namáhavosti vykonávaných prací, zařazených do 8 skupin, a činí: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vMerge w:val="restart"/>
          </w:tcPr>
          <w:p>
            <w:pPr/>
            <w:r>
              <w:rPr/>
              <w:t xml:space="preserve">Skupina prací</w:t>
            </w:r>
          </w:p>
        </w:tc>
        <w:tc>
          <w:tcPr>
            <w:gridSpan w:val="2"/>
          </w:tcPr>
          <w:p>
            <w:pPr/>
            <w:r>
              <w:rPr/>
              <w:t xml:space="preserve">Nejnižší úroveň zaručené mzdy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v Kč za hodinu</w:t>
            </w:r>
          </w:p>
        </w:tc>
        <w:tc>
          <w:tcPr/>
          <w:p>
            <w:pPr/>
            <w:r>
              <w:rPr/>
              <w:t xml:space="preserve">v Kč za měsíc</w:t>
            </w:r>
          </w:p>
        </w:tc>
      </w:tr>
      <w:tr>
        <w:trPr/>
        <w:tc>
          <w:tcPr/>
          <w:p>
            <w:pPr/>
            <w:r>
              <w:rPr/>
              <w:t xml:space="preserve">1.</w:t>
            </w:r>
          </w:p>
        </w:tc>
        <w:tc>
          <w:tcPr/>
          <w:p>
            <w:pPr/>
            <w:r>
              <w:rPr/>
              <w:t xml:space="preserve">96,40</w:t>
            </w:r>
          </w:p>
        </w:tc>
        <w:tc>
          <w:tcPr/>
          <w:p>
            <w:pPr/>
            <w:r>
              <w:rPr/>
              <w:t xml:space="preserve">16 200</w:t>
            </w:r>
          </w:p>
        </w:tc>
      </w:tr>
      <w:tr>
        <w:trPr/>
        <w:tc>
          <w:tcPr/>
          <w:p>
            <w:pPr/>
            <w:r>
              <w:rPr/>
              <w:t xml:space="preserve">2.</w:t>
            </w:r>
          </w:p>
        </w:tc>
        <w:tc>
          <w:tcPr/>
          <w:p>
            <w:pPr/>
            <w:r>
              <w:rPr/>
              <w:t xml:space="preserve">106,50</w:t>
            </w:r>
          </w:p>
        </w:tc>
        <w:tc>
          <w:tcPr/>
          <w:p>
            <w:pPr/>
            <w:r>
              <w:rPr/>
              <w:t xml:space="preserve">17 900</w:t>
            </w:r>
          </w:p>
        </w:tc>
      </w:tr>
      <w:tr>
        <w:trPr/>
        <w:tc>
          <w:tcPr/>
          <w:p>
            <w:pPr/>
            <w:r>
              <w:rPr/>
              <w:t xml:space="preserve">3.</w:t>
            </w:r>
          </w:p>
        </w:tc>
        <w:tc>
          <w:tcPr/>
          <w:p>
            <w:pPr/>
            <w:r>
              <w:rPr/>
              <w:t xml:space="preserve">117,50</w:t>
            </w:r>
          </w:p>
        </w:tc>
        <w:tc>
          <w:tcPr/>
          <w:p>
            <w:pPr/>
            <w:r>
              <w:rPr/>
              <w:t xml:space="preserve">19 700</w:t>
            </w:r>
          </w:p>
        </w:tc>
      </w:tr>
      <w:tr>
        <w:trPr/>
        <w:tc>
          <w:tcPr/>
          <w:p>
            <w:pPr/>
            <w:r>
              <w:rPr/>
              <w:t xml:space="preserve">4.</w:t>
            </w:r>
          </w:p>
        </w:tc>
        <w:tc>
          <w:tcPr/>
          <w:p>
            <w:pPr/>
            <w:r>
              <w:rPr/>
              <w:t xml:space="preserve">129,80</w:t>
            </w:r>
          </w:p>
        </w:tc>
        <w:tc>
          <w:tcPr/>
          <w:p>
            <w:pPr/>
            <w:r>
              <w:rPr/>
              <w:t xml:space="preserve">21 800</w:t>
            </w:r>
          </w:p>
        </w:tc>
      </w:tr>
      <w:tr>
        <w:trPr/>
        <w:tc>
          <w:tcPr/>
          <w:p>
            <w:pPr/>
            <w:r>
              <w:rPr/>
              <w:t xml:space="preserve">5.</w:t>
            </w:r>
          </w:p>
        </w:tc>
        <w:tc>
          <w:tcPr/>
          <w:p>
            <w:pPr/>
            <w:r>
              <w:rPr/>
              <w:t xml:space="preserve">143,30</w:t>
            </w:r>
          </w:p>
        </w:tc>
        <w:tc>
          <w:tcPr/>
          <w:p>
            <w:pPr/>
            <w:r>
              <w:rPr/>
              <w:t xml:space="preserve">24 100</w:t>
            </w:r>
          </w:p>
        </w:tc>
      </w:tr>
      <w:tr>
        <w:trPr/>
        <w:tc>
          <w:tcPr/>
          <w:p>
            <w:pPr/>
            <w:r>
              <w:rPr/>
              <w:t xml:space="preserve">6.</w:t>
            </w:r>
          </w:p>
        </w:tc>
        <w:tc>
          <w:tcPr/>
          <w:p>
            <w:pPr/>
            <w:r>
              <w:rPr/>
              <w:t xml:space="preserve">158,20</w:t>
            </w:r>
          </w:p>
        </w:tc>
        <w:tc>
          <w:tcPr/>
          <w:p>
            <w:pPr/>
            <w:r>
              <w:rPr/>
              <w:t xml:space="preserve">26 600</w:t>
            </w:r>
          </w:p>
        </w:tc>
      </w:tr>
      <w:tr>
        <w:trPr/>
        <w:tc>
          <w:tcPr/>
          <w:p>
            <w:pPr/>
            <w:r>
              <w:rPr/>
              <w:t xml:space="preserve">7.</w:t>
            </w:r>
          </w:p>
        </w:tc>
        <w:tc>
          <w:tcPr/>
          <w:p>
            <w:pPr/>
            <w:r>
              <w:rPr/>
              <w:t xml:space="preserve">174,70</w:t>
            </w:r>
          </w:p>
        </w:tc>
        <w:tc>
          <w:tcPr/>
          <w:p>
            <w:pPr/>
            <w:r>
              <w:rPr/>
              <w:t xml:space="preserve">29 400</w:t>
            </w:r>
          </w:p>
        </w:tc>
      </w:tr>
      <w:tr>
        <w:trPr/>
        <w:tc>
          <w:tcPr/>
          <w:p>
            <w:pPr/>
            <w:r>
              <w:rPr/>
              <w:t xml:space="preserve">8.</w:t>
            </w:r>
          </w:p>
        </w:tc>
        <w:tc>
          <w:tcPr/>
          <w:p>
            <w:pPr/>
            <w:r>
              <w:rPr/>
              <w:t xml:space="preserve">192,80</w:t>
            </w:r>
          </w:p>
        </w:tc>
        <w:tc>
          <w:tcPr/>
          <w:p>
            <w:pPr/>
            <w:r>
              <w:rPr/>
              <w:t xml:space="preserve">32 400.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práce a sociálních věcí:</w:t>
      </w:r>
    </w:p>
    <w:p>
      <w:pPr>
        <w:jc w:val="center"/>
        <w:ind w:left="0" w:right="0"/>
        <w:spacing w:after="0"/>
      </w:pPr>
      <w:r>
        <w:rPr/>
        <w:t xml:space="preserve">Dipl.-Pol. </w:t>
      </w:r>
      <w:r>
        <w:rPr>
          <w:b/>
          <w:bCs/>
        </w:rPr>
        <w:t xml:space="preserve">Maláčová</w:t>
      </w:r>
      <w:r>
        <w:rPr/>
        <w:t xml:space="preserve">, MSc., v. r.</w:t>
      </w:r>
    </w:p>
    <w:sectPr>
      <w:headerReference w:type="default" r:id="rId25"/>
      <w:footerReference w:type="default" r:id="rId2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405/2021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567" TargetMode="External"/><Relationship Id="rId8" Type="http://schemas.openxmlformats.org/officeDocument/2006/relationships/hyperlink" Target="https://esipa.cz/sbirka/sbsrv.dll/sb?DR=AZ&amp;CP=2006s262-2021s251_20220101#P111" TargetMode="External"/><Relationship Id="rId9" Type="http://schemas.openxmlformats.org/officeDocument/2006/relationships/hyperlink" Target="https://esipa.cz/sbirka/sbsrv.dll/sb?DR=AZ&amp;CP=2006s262-2021s251_20220101#P112" TargetMode="External"/><Relationship Id="rId10" Type="http://schemas.openxmlformats.org/officeDocument/2006/relationships/hyperlink" Target="https://esipa.cz/sbirka/sbsrv.dll/sb?DR=SB&amp;CP=2006s262" TargetMode="External"/><Relationship Id="rId11" Type="http://schemas.openxmlformats.org/officeDocument/2006/relationships/hyperlink" Target="https://esipa.cz/sbirka/sbsrv.dll/sb?DR=SB&amp;CP=2007s249" TargetMode="External"/><Relationship Id="rId12" Type="http://schemas.openxmlformats.org/officeDocument/2006/relationships/hyperlink" Target="https://esipa.cz/sbirka/sbsrv.dll/sb?DR=SB&amp;CP=2009s452" TargetMode="External"/><Relationship Id="rId13" Type="http://schemas.openxmlformats.org/officeDocument/2006/relationships/hyperlink" Target="https://esipa.cz/sbirka/sbsrv.dll/sb?DR=SB&amp;CP=2012s246" TargetMode="External"/><Relationship Id="rId14" Type="http://schemas.openxmlformats.org/officeDocument/2006/relationships/hyperlink" Target="https://esipa.cz/sbirka/sbsrv.dll/sb?DR=SB&amp;CP=2013s210" TargetMode="External"/><Relationship Id="rId15" Type="http://schemas.openxmlformats.org/officeDocument/2006/relationships/hyperlink" Target="https://esipa.cz/sbirka/sbsrv.dll/sb?DR=SB&amp;CP=2014s204" TargetMode="External"/><Relationship Id="rId16" Type="http://schemas.openxmlformats.org/officeDocument/2006/relationships/hyperlink" Target="https://esipa.cz/sbirka/sbsrv.dll/sb?DR=SB&amp;CP=2015s233" TargetMode="External"/><Relationship Id="rId17" Type="http://schemas.openxmlformats.org/officeDocument/2006/relationships/hyperlink" Target="https://esipa.cz/sbirka/sbsrv.dll/sb?DR=SB&amp;CP=2016s336" TargetMode="External"/><Relationship Id="rId18" Type="http://schemas.openxmlformats.org/officeDocument/2006/relationships/hyperlink" Target="https://esipa.cz/sbirka/sbsrv.dll/sb?DR=SB&amp;CP=2016s337" TargetMode="External"/><Relationship Id="rId19" Type="http://schemas.openxmlformats.org/officeDocument/2006/relationships/hyperlink" Target="https://esipa.cz/sbirka/sbsrv.dll/sb?DR=SB&amp;CP=2017s286" TargetMode="External"/><Relationship Id="rId20" Type="http://schemas.openxmlformats.org/officeDocument/2006/relationships/hyperlink" Target="https://esipa.cz/sbirka/sbsrv.dll/sb?DR=SB&amp;CP=2018s273" TargetMode="External"/><Relationship Id="rId21" Type="http://schemas.openxmlformats.org/officeDocument/2006/relationships/hyperlink" Target="https://esipa.cz/sbirka/sbsrv.dll/sb?DR=SB&amp;CP=2019s347" TargetMode="External"/><Relationship Id="rId22" Type="http://schemas.openxmlformats.org/officeDocument/2006/relationships/hyperlink" Target="https://esipa.cz/sbirka/sbsrv.dll/sb?DR=SB&amp;CP=2020s487" TargetMode="External"/><Relationship Id="rId23" Type="http://schemas.openxmlformats.org/officeDocument/2006/relationships/hyperlink" Target="https://esipa.cz/sbirka/sbsrv.dll/sb?DR=AZ&amp;CP=2006s567-2020s487#P2" TargetMode="External"/><Relationship Id="rId24" Type="http://schemas.openxmlformats.org/officeDocument/2006/relationships/hyperlink" Target="https://esipa.cz/sbirka/sbsrv.dll/sb?DR=AZ&amp;CP=2006s567-2020s487#P3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405/2021 Sb. - původní znění</dc:title>
  <dc:description>Nařízení vlády,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</dc:description>
  <dc:subject/>
  <cp:keywords/>
  <cp:category/>
  <cp:lastModifiedBy/>
  <dcterms:created xsi:type="dcterms:W3CDTF">2022-01-01T00:00:00+01:00</dcterms:created>
  <dcterms:modified xsi:type="dcterms:W3CDTF">2024-01-01T09:00:11+01:00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