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265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VYHLÁŠKA</w:t>
      </w:r>
    </w:p>
    <w:p>
      <w:pPr>
        <w:jc w:val="center"/>
        <w:ind w:left="0" w:right="0"/>
        <w:spacing w:after="0"/>
      </w:pPr>
      <w:r>
        <w:rPr/>
        <w:t xml:space="preserve">ze dne 8. července 2021,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kterou se mění vyhláška č. </w:t>
      </w:r>
      <w:hyperlink r:id="rId7" w:history="1">
        <w:r>
          <w:rPr>
            <w:color w:val="darkblue"/>
            <w:u w:val="single"/>
          </w:rPr>
          <w:t xml:space="preserve">329/2008 Sb.</w:t>
        </w:r>
      </w:hyperlink>
      <w:r>
        <w:rPr>
          <w:b/>
          <w:bCs/>
        </w:rPr>
        <w:t xml:space="preserve">, o centrální evidenci exekucí, ve znění pozdějších předpisů</w:t>
      </w:r>
    </w:p>
    <w:p/>
    <w:p>
      <w:pPr>
        <w:jc w:val="left"/>
        <w:ind w:left="0" w:right="0"/>
        <w:spacing w:after="0"/>
      </w:pPr>
      <w:r>
        <w:rPr/>
        <w:t xml:space="preserve">Ministerstvo spravedlnosti stanoví podle </w:t>
      </w:r>
      <w:hyperlink r:id="rId8" w:history="1">
        <w:r>
          <w:rPr>
            <w:color w:val="darkblue"/>
            <w:u w:val="single"/>
          </w:rPr>
          <w:t xml:space="preserve">§ 131</w:t>
        </w:r>
      </w:hyperlink>
      <w:r>
        <w:rPr/>
        <w:t xml:space="preserve"> písm. e) zákona č. </w:t>
      </w:r>
      <w:hyperlink r:id="rId9" w:history="1">
        <w:r>
          <w:rPr>
            <w:color w:val="darkblue"/>
            <w:u w:val="single"/>
          </w:rPr>
          <w:t xml:space="preserve">120/2001 Sb.</w:t>
        </w:r>
      </w:hyperlink>
      <w:r>
        <w:rPr/>
        <w:t xml:space="preserve">, o soudních exekutorech a exekuční činnosti (exekuční řád) a o změně dalších zákonů, ve znění zákona č. </w:t>
      </w:r>
      <w:hyperlink r:id="rId10" w:history="1">
        <w:r>
          <w:rPr>
            <w:color w:val="darkblue"/>
            <w:u w:val="single"/>
          </w:rPr>
          <w:t xml:space="preserve">139/2015 Sb.</w:t>
        </w:r>
      </w:hyperlink>
      <w:r>
        <w:rPr/>
        <w:t xml:space="preserve">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Čl. I</w:t>
      </w:r>
    </w:p>
    <w:p>
      <w:pPr>
        <w:ind w:left="0" w:right="0"/>
      </w:pPr>
      <w:r>
        <w:rPr/>
        <w:t xml:space="preserve">Vyhláška č. </w:t>
      </w:r>
      <w:hyperlink r:id="rId7" w:history="1">
        <w:r>
          <w:rPr>
            <w:color w:val="darkblue"/>
            <w:u w:val="single"/>
          </w:rPr>
          <w:t xml:space="preserve">329/2008 Sb.</w:t>
        </w:r>
      </w:hyperlink>
      <w:r>
        <w:rPr/>
        <w:t xml:space="preserve">, o centrální evidenci exekucí, ve znění vyhlášky č. </w:t>
      </w:r>
      <w:hyperlink r:id="rId11" w:history="1">
        <w:r>
          <w:rPr>
            <w:color w:val="darkblue"/>
            <w:u w:val="single"/>
          </w:rPr>
          <w:t xml:space="preserve">426/2008 Sb.</w:t>
        </w:r>
      </w:hyperlink>
      <w:r>
        <w:rPr/>
        <w:t xml:space="preserve">, vyhlášky č. </w:t>
      </w:r>
      <w:hyperlink r:id="rId12" w:history="1">
        <w:r>
          <w:rPr>
            <w:color w:val="darkblue"/>
            <w:u w:val="single"/>
          </w:rPr>
          <w:t xml:space="preserve">366/2009 Sb.</w:t>
        </w:r>
      </w:hyperlink>
      <w:r>
        <w:rPr/>
        <w:t xml:space="preserve"> a vyhlášky č. </w:t>
      </w:r>
      <w:hyperlink r:id="rId13" w:history="1">
        <w:r>
          <w:rPr>
            <w:color w:val="darkblue"/>
            <w:u w:val="single"/>
          </w:rPr>
          <w:t xml:space="preserve">489/2012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 </w:t>
      </w:r>
      <w:hyperlink r:id="rId14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odst. 1 se za písmeno a) vkládá nové písmeno b), které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„b)</w:t>
      </w:r>
      <w:r>
        <w:rPr/>
        <w:t xml:space="preserve">	</w:t>
      </w:r>
      <w:r>
        <w:rPr/>
        <w:t xml:space="preserve">údaje o exekučním titulu, a to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druh exekučního titulu,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orgán, který ho vydal, nebo osoba, která ho vyhotovila,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den, měsíc a rok jeho vydání ve tvaru DD.MM.RRRR a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jeho číslo jednací,“</w:t>
      </w:r>
    </w:p>
    <w:p>
      <w:pPr>
        <w:ind w:left="560" w:right="0"/>
      </w:pPr>
      <w:r>
        <w:rPr/>
        <w:t xml:space="preserve">Dosavadní písmena b) až d) se označují jako písmena c) až e).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</w:t>
      </w:r>
      <w:hyperlink r:id="rId14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odst. 3 písm. c) se slovo „bydliště“ nahrazuje slovy „místa trvalého pobytu, popřípadě místa pobytu na území České republiky podle druhu pobytu cizince,“.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V </w:t>
      </w:r>
      <w:hyperlink r:id="rId14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odst. 3 se na konci písmene c) čárka nahrazuje tečkou a písmeno d) se zrušuje.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V </w:t>
      </w:r>
      <w:hyperlink r:id="rId14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odst. 4 se na konci textu písmene b) doplňují slova „ , bylo-li přiděleno“.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5.</w:t>
      </w:r>
      <w:r>
        <w:rPr/>
        <w:t xml:space="preserve">	</w:t>
      </w:r>
      <w:r>
        <w:rPr/>
        <w:t xml:space="preserve">V </w:t>
      </w:r>
      <w:hyperlink r:id="rId14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se za odstavec 4 vkládá nový odstavec 5, který 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(5)</w:t>
      </w:r>
      <w:r>
        <w:rPr/>
        <w:t xml:space="preserve"> U oprávněného-fyzické osoby se zapisují údaje podle odstavce 3 písm. a) a c) a datum narození, u oprávněného-právnické osoby se zapisují údaje podle odstavce 4. U zjištěného předchozího věřitele se zapisují údaje uvedené ve vyrozumění o zahájení exekuce.“</w:t>
      </w:r>
    </w:p>
    <w:p>
      <w:pPr>
        <w:ind w:left="560" w:right="0"/>
      </w:pPr>
      <w:r>
        <w:rPr/>
        <w:t xml:space="preserve">Dosavadní odstavec 5 se označuje jako odstavec 6.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6.</w:t>
      </w:r>
      <w:r>
        <w:rPr/>
        <w:t xml:space="preserve">	</w:t>
      </w:r>
      <w:r>
        <w:rPr/>
        <w:t xml:space="preserve">V </w:t>
      </w:r>
      <w:hyperlink r:id="rId15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odstavec 4 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(4)</w:t>
      </w:r>
      <w:r>
        <w:rPr/>
        <w:t xml:space="preserve"> Komoře náleží za výpis z evidence nebo za potvrzení o tom, že určitý údaj v evidenci není zapsán, odměna ve výši 50 Kč za každou stranu.“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7.</w:t>
      </w:r>
      <w:r>
        <w:rPr/>
        <w:t xml:space="preserve">	</w:t>
      </w:r>
      <w:r>
        <w:rPr/>
        <w:t xml:space="preserve">V </w:t>
      </w:r>
      <w:hyperlink r:id="rId15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se doplňují odstavce 5 a 6, které znějí: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(5)</w:t>
      </w:r>
      <w:r>
        <w:rPr/>
        <w:t xml:space="preserve"> Za první výpis z evidence vydaný v kalendářním roce povinnému-fyzické osobě z exekučního řízení, v němž byly do evidence zapsány údaje obsažené ve výpisu, náleží Komoře odměna v celkové výši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75 Kč, nepřesahuje-li výpis 6 stran,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100 Kč, má-li výpis alespoň 7 stran.</w:t>
      </w:r>
    </w:p>
    <w:p>
      <w:pPr>
        <w:ind w:left="560" w:right="0"/>
      </w:pPr>
      <w:r>
        <w:rPr>
          <w:b/>
          <w:bCs/>
        </w:rPr>
        <w:t xml:space="preserve">(6)</w:t>
      </w:r>
      <w:r>
        <w:rPr/>
        <w:t xml:space="preserve"> Údaje podle </w:t>
      </w:r>
      <w:hyperlink r:id="rId14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odst. 5 uvádí Komora pouze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ve výpisu podle odstavce 5, nebo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na žádost povinného-fyzické osoby z exekučního řízení, v němž byly do evidence zapsány údaje obsažené ve výpisu, i ve výpisu neuvedeném v písmeni a).“</w:t>
      </w:r>
    </w:p>
    <w:p>
      <w:pPr>
        <w:pStyle w:val="Heading1"/>
      </w:pPr>
      <w:r>
        <w:rPr>
          <w:b/>
          <w:bCs/>
        </w:rPr>
        <w:t xml:space="preserve">Čl. II</w:t>
      </w:r>
      <w:r>
        <w:rPr>
          <w:rStyle w:val="hidden"/>
        </w:rPr>
        <w:t xml:space="preserve"> -</w:t>
      </w:r>
      <w:br/>
      <w:r>
        <w:rPr/>
        <w:t xml:space="preserve">Přechodné ustanovení</w:t>
      </w:r>
    </w:p>
    <w:p>
      <w:pPr>
        <w:ind w:left="0" w:right="0"/>
      </w:pPr>
      <w:r>
        <w:rPr/>
        <w:t xml:space="preserve">Exekutor zapíše do centrální evidence exekucí nejpozději do 6 měsíců ode dne nabytí účinnosti této vyhlášky údaje podle </w:t>
      </w:r>
      <w:hyperlink r:id="rId14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odst. 1 písm. b) a </w:t>
      </w:r>
      <w:hyperlink r:id="rId14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odst. 5 vyhlášky č. </w:t>
      </w:r>
      <w:hyperlink r:id="rId7" w:history="1">
        <w:r>
          <w:rPr>
            <w:color w:val="darkblue"/>
            <w:u w:val="single"/>
          </w:rPr>
          <w:t xml:space="preserve">329/2008 Sb.</w:t>
        </w:r>
      </w:hyperlink>
      <w:r>
        <w:rPr/>
        <w:t xml:space="preserve">, ve znění účinném ode dne nabytí účinnosti této vyhlášky, týkající se exekučního řízení, které nebylo skončeno přede dnem nabytí účinnosti této vyhlášky a ve kterém byly přede dnem nabytí účinnosti této vyhlášky zapsány do centrální evidence exekucí údaje z vyrozumění o zahájení exekuce.</w:t>
      </w:r>
    </w:p>
    <w:p>
      <w:pPr>
        <w:pStyle w:val="Heading1"/>
      </w:pPr>
      <w:r>
        <w:rPr>
          <w:b/>
          <w:bCs/>
        </w:rPr>
        <w:t xml:space="preserve">Čl. III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Tato vyhláška nabývá účinnosti dnem 1. ledna 2022.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Ministryně spravedlnosti:</w:t>
      </w:r>
    </w:p>
    <w:p>
      <w:pPr>
        <w:jc w:val="center"/>
        <w:ind w:left="0" w:right="0"/>
        <w:spacing w:after="0"/>
      </w:pPr>
      <w:r>
        <w:rPr/>
        <w:t xml:space="preserve">Mgr. </w:t>
      </w:r>
      <w:r>
        <w:rPr>
          <w:b/>
          <w:bCs/>
        </w:rPr>
        <w:t xml:space="preserve">Benešová</w:t>
      </w:r>
      <w:r>
        <w:rPr/>
        <w:t xml:space="preserve"> v. r.</w:t>
      </w:r>
    </w:p>
    <w:sectPr>
      <w:headerReference w:type="default" r:id="rId16"/>
      <w:footerReference w:type="default" r:id="rId1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265/2021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08s329" TargetMode="External"/><Relationship Id="rId8" Type="http://schemas.openxmlformats.org/officeDocument/2006/relationships/hyperlink" Target="https://esipa.cz/sbirka/sbsrv.dll/sb?DR=AZ&amp;CP=2001s120-2021s218#P131" TargetMode="External"/><Relationship Id="rId9" Type="http://schemas.openxmlformats.org/officeDocument/2006/relationships/hyperlink" Target="https://esipa.cz/sbirka/sbsrv.dll/sb?DR=SB&amp;CP=2001s120" TargetMode="External"/><Relationship Id="rId10" Type="http://schemas.openxmlformats.org/officeDocument/2006/relationships/hyperlink" Target="https://esipa.cz/sbirka/sbsrv.dll/sb?DR=SB&amp;CP=2015s139" TargetMode="External"/><Relationship Id="rId11" Type="http://schemas.openxmlformats.org/officeDocument/2006/relationships/hyperlink" Target="https://esipa.cz/sbirka/sbsrv.dll/sb?DR=SB&amp;CP=2008s426" TargetMode="External"/><Relationship Id="rId12" Type="http://schemas.openxmlformats.org/officeDocument/2006/relationships/hyperlink" Target="https://esipa.cz/sbirka/sbsrv.dll/sb?DR=SB&amp;CP=2009s366" TargetMode="External"/><Relationship Id="rId13" Type="http://schemas.openxmlformats.org/officeDocument/2006/relationships/hyperlink" Target="https://esipa.cz/sbirka/sbsrv.dll/sb?DR=SB&amp;CP=2012s489" TargetMode="External"/><Relationship Id="rId14" Type="http://schemas.openxmlformats.org/officeDocument/2006/relationships/hyperlink" Target="https://esipa.cz/sbirka/sbsrv.dll/sb?DR=AZ&amp;CP=2008s329-2012s489#P002" TargetMode="External"/><Relationship Id="rId15" Type="http://schemas.openxmlformats.org/officeDocument/2006/relationships/hyperlink" Target="https://esipa.cz/sbirka/sbsrv.dll/sb?DR=AZ&amp;CP=2008s329-2012s489#P005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265/2021 Sb. - původní znění</dc:title>
  <dc:description>Vyhláška, kterou se mění vyhláška č. 329/2008 Sb., o centrální evidenci exekucí, ve znění pozdějších předpisů</dc:description>
  <dc:subject/>
  <cp:keywords/>
  <cp:category/>
  <cp:lastModifiedBy/>
  <dcterms:created xsi:type="dcterms:W3CDTF">2022-01-01T00:00:00+01:00</dcterms:created>
  <dcterms:modified xsi:type="dcterms:W3CDTF">2022-01-12T01:15:29+01:00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