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26. května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345/1999 Sb.</w:t>
        </w:r>
      </w:hyperlink>
      <w:r>
        <w:rPr>
          <w:b/>
          <w:bCs/>
        </w:rPr>
        <w:t xml:space="preserve">, kterou se vydává řád výkonu trestu odnětí svobody,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spravedlnosti stanoví podle </w:t>
      </w:r>
      <w:hyperlink r:id="rId8" w:history="1">
        <w:r>
          <w:rPr>
            <w:color w:val="darkblue"/>
            <w:u w:val="single"/>
          </w:rPr>
          <w:t xml:space="preserve">§ 81</w:t>
        </w:r>
      </w:hyperlink>
      <w:r>
        <w:rPr/>
        <w:t xml:space="preserve"> zákona č. </w:t>
      </w:r>
      <w:hyperlink r:id="rId9" w:history="1">
        <w:r>
          <w:rPr>
            <w:color w:val="darkblue"/>
            <w:u w:val="single"/>
          </w:rPr>
          <w:t xml:space="preserve">169/1999 Sb.</w:t>
        </w:r>
      </w:hyperlink>
      <w:r>
        <w:rPr/>
        <w:t xml:space="preserve">, o výkonu trestu odnětí svobody a o změně některých souvisejících zákonů: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345/1999 Sb.</w:t>
        </w:r>
      </w:hyperlink>
      <w:r>
        <w:rPr/>
        <w:t xml:space="preserve">, kterou se vydává řád výkonu trestu odnětí svobody, ve znění vyhlášky č. </w:t>
      </w:r>
      <w:hyperlink r:id="rId10" w:history="1">
        <w:r>
          <w:rPr>
            <w:color w:val="darkblue"/>
            <w:u w:val="single"/>
          </w:rPr>
          <w:t xml:space="preserve">378/2004 Sb.</w:t>
        </w:r>
      </w:hyperlink>
      <w:r>
        <w:rPr/>
        <w:t xml:space="preserve">, vyhlášky č. </w:t>
      </w:r>
      <w:hyperlink r:id="rId11" w:history="1">
        <w:r>
          <w:rPr>
            <w:color w:val="darkblue"/>
            <w:u w:val="single"/>
          </w:rPr>
          <w:t xml:space="preserve">243/2006 Sb.</w:t>
        </w:r>
      </w:hyperlink>
      <w:r>
        <w:rPr/>
        <w:t xml:space="preserve">, vyhlášky č. </w:t>
      </w:r>
      <w:hyperlink r:id="rId12" w:history="1">
        <w:r>
          <w:rPr>
            <w:color w:val="darkblue"/>
            <w:u w:val="single"/>
          </w:rPr>
          <w:t xml:space="preserve">19/2015 Sb.</w:t>
        </w:r>
      </w:hyperlink>
      <w:r>
        <w:rPr/>
        <w:t xml:space="preserve">, vyhlášky č. </w:t>
      </w:r>
      <w:hyperlink r:id="rId13" w:history="1">
        <w:r>
          <w:rPr>
            <w:color w:val="darkblue"/>
            <w:u w:val="single"/>
          </w:rPr>
          <w:t xml:space="preserve">279/2017 Sb.</w:t>
        </w:r>
      </w:hyperlink>
      <w:r>
        <w:rPr/>
        <w:t xml:space="preserve"> a vyhlášky č. </w:t>
      </w:r>
      <w:hyperlink r:id="rId14" w:history="1">
        <w:r>
          <w:rPr>
            <w:color w:val="darkblue"/>
            <w:u w:val="single"/>
          </w:rPr>
          <w:t xml:space="preserve">362/2020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odstavec 1 zrušuje a zároveň se zrušuje označení odstavce 2.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za slovo „přemísťován“ vkládají slova „na dobu nikoliv přechodnou“.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odstavec 7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(7)</w:t>
      </w:r>
      <w:r>
        <w:rPr/>
        <w:t xml:space="preserve"> Do cely nebo ložnice, v níž na odsouzeného připadne ubytovací plocha menší než ubytovací plocha stanovená podle odstavce 6, nikoli však menší než 3 m</w:t>
      </w:r>
      <w:r>
        <w:rPr>
          <w:vertAlign w:val="superscript"/>
        </w:rPr>
        <w:t xml:space="preserve">2</w:t>
      </w:r>
      <w:r>
        <w:rPr/>
        <w:t xml:space="preserve">, lze umístit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odsouzeného nevykonávajícího trest ve specializovaném oddílu pouze tehdy, pokud celkový počet takových odsouzených vykonávajících trest ve věznicích téhož základního typu a stupně zabezpečení věznice s ostrahou neumožní z důvodu nedostatečné ubytovací kapacity dodržet ubytovací plochu stanovenou podle odstavce 6; do celkové plochy téhož základního typu a stupně zabezpečení věznice s ostrahou se nezapočítává ubytovací plocha specializovaných oddílů,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odsouzeného vykonávajícího trest v některém ze specializovaných oddílů pouze tehdy, pokud celkový počet odsouzených vykonávajících trest v takovém specializovaném oddílu ve věznicích téhož základního typu a stupně zabezpečení věznice s ostrahou neumožní z důvodu nedostatečné ubytovací kapacity dodržet ubytovací plochu stanovenou podle odstavce 6 nebo pokud by výkon trestu takového odsouzeného ve specializovaném oddílu v jiné věznici byl výrazně ztížen s ohledem na stavebně technické podmínky takové věznice, nebylo by možné odsouzenému poskytovat nebo zajišťovat potřebné zdravotní služby nebo by z jiných důležitých důvodů bylo ohroženo naplnění účelu zařazení odsouzeného do specializovaného oddílu.“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46</w:t>
        </w:r>
      </w:hyperlink>
      <w:r>
        <w:rPr/>
        <w:t xml:space="preserve"> odst. 5 se věta druhá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 a v </w:t>
      </w:r>
      <w:hyperlink r:id="rId19" w:history="1">
        <w:r>
          <w:rPr>
            <w:color w:val="darkblue"/>
            <w:u w:val="single"/>
          </w:rPr>
          <w:t xml:space="preserve">§ 94</w:t>
        </w:r>
      </w:hyperlink>
      <w:r>
        <w:rPr/>
        <w:t xml:space="preserve"> odst. 1 se slova „zřízených generálním ředitelem Vězeňské služby“ zrušují.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2021, s výjimkou ustanovení čl. I bodů 4 a 5, která nabývají účinnosti dnem 1. ledna 2022, a s výjimkou ustanovení čl. I bodu 3, které nabývá účinnosti dnem 1. ledna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 spravedlnosti: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Benešová</w:t>
      </w:r>
      <w:r>
        <w:rPr/>
        <w:t xml:space="preserve"> v. r.</w:t>
      </w:r>
    </w:p>
    <w:sectPr>
      <w:headerReference w:type="default" r:id="rId20"/>
      <w:footerReference w:type="default" r:id="rId2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9s345" TargetMode="External"/><Relationship Id="rId8" Type="http://schemas.openxmlformats.org/officeDocument/2006/relationships/hyperlink" Target="https://esipa.cz/sbirka/sbsrv.dll/sb?DR=AZ&amp;CP=1999s169-2020s165#P81" TargetMode="External"/><Relationship Id="rId9" Type="http://schemas.openxmlformats.org/officeDocument/2006/relationships/hyperlink" Target="https://esipa.cz/sbirka/sbsrv.dll/sb?DR=SB&amp;CP=1999s169" TargetMode="External"/><Relationship Id="rId10" Type="http://schemas.openxmlformats.org/officeDocument/2006/relationships/hyperlink" Target="https://esipa.cz/sbirka/sbsrv.dll/sb?DR=SB&amp;CP=2004s378" TargetMode="External"/><Relationship Id="rId11" Type="http://schemas.openxmlformats.org/officeDocument/2006/relationships/hyperlink" Target="https://esipa.cz/sbirka/sbsrv.dll/sb?DR=SB&amp;CP=2006s243" TargetMode="External"/><Relationship Id="rId12" Type="http://schemas.openxmlformats.org/officeDocument/2006/relationships/hyperlink" Target="https://esipa.cz/sbirka/sbsrv.dll/sb?DR=SB&amp;CP=2015s019" TargetMode="External"/><Relationship Id="rId13" Type="http://schemas.openxmlformats.org/officeDocument/2006/relationships/hyperlink" Target="https://esipa.cz/sbirka/sbsrv.dll/sb?DR=SB&amp;CP=2017s279" TargetMode="External"/><Relationship Id="rId14" Type="http://schemas.openxmlformats.org/officeDocument/2006/relationships/hyperlink" Target="https://esipa.cz/sbirka/sbsrv.dll/sb?DR=SB&amp;CP=2020s362" TargetMode="External"/><Relationship Id="rId15" Type="http://schemas.openxmlformats.org/officeDocument/2006/relationships/hyperlink" Target="https://esipa.cz/sbirka/sbsrv.dll/sb?DR=AZ&amp;CP=1999s345-2020s362#P10" TargetMode="External"/><Relationship Id="rId16" Type="http://schemas.openxmlformats.org/officeDocument/2006/relationships/hyperlink" Target="https://esipa.cz/sbirka/sbsrv.dll/sb?DR=AZ&amp;CP=1999s345-2020s362#P17" TargetMode="External"/><Relationship Id="rId17" Type="http://schemas.openxmlformats.org/officeDocument/2006/relationships/hyperlink" Target="https://esipa.cz/sbirka/sbsrv.dll/sb?DR=AZ&amp;CP=1999s345-2020s362#P46" TargetMode="External"/><Relationship Id="rId18" Type="http://schemas.openxmlformats.org/officeDocument/2006/relationships/hyperlink" Target="https://esipa.cz/sbirka/sbsrv.dll/sb?DR=AZ&amp;CP=1999s345-2020s362#P92" TargetMode="External"/><Relationship Id="rId19" Type="http://schemas.openxmlformats.org/officeDocument/2006/relationships/hyperlink" Target="https://esipa.cz/sbirka/sbsrv.dll/sb?DR=AZ&amp;CP=1999s345-2020s362#P94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225/2021 Sb. - původní znění</dc:title>
  <dc:description>Vyhláška, kterou se mění vyhláška č. 345/1999 Sb., kterou se vydává řád výkonu trestu odnětí svobody, ve znění pozdějších předpisů</dc:description>
  <dc:subject/>
  <cp:keywords/>
  <cp:category/>
  <cp:lastModifiedBy/>
  <dcterms:created xsi:type="dcterms:W3CDTF">2021-07-01T00:00:00+02:00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